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0B1B4B"/>
          <w:sz w:val="40"/>
        </w:rPr>
        <w:t>EVENT MANAGEMENT SERVICES AGREEMENT</w:t>
      </w:r>
    </w:p>
    <w:p>
      <w:pPr>
        <w:spacing w:after="160"/>
        <w:jc w:val="center"/>
      </w:pPr>
      <w:r>
        <w:rPr>
          <w:b w:val="0"/>
          <w:i/>
          <w:color w:val="556075"/>
          <w:sz w:val="21"/>
        </w:rPr>
        <w:t>Template for independent event planners and event agencies in India</w:t>
      </w:r>
    </w:p>
    <w:p>
      <w:pPr>
        <w:shd w:val="clear" w:color="auto" w:fill="FFF7E6"/>
        <w:pBdr>
          <w:left w:val="single" w:sz="18" w:space="6" w:color="E0A100"/>
        </w:pBdr>
      </w:pPr>
      <w:r>
        <w:rPr>
          <w:b/>
          <w:sz w:val="19"/>
        </w:rPr>
        <w:t xml:space="preserve">Read this first. </w:t>
      </w:r>
      <w:r>
        <w:rPr>
          <w:sz w:val="19"/>
        </w:rPr>
        <w:t>This is a template, not legal advice. It is written to be filled in and adapted, and the blue guidance notes explain why each clause exists and how to negotiate it. Delete the notes before you send the agreement. Have your own lawyer review it, confirm the GST and TDS treatment with your CA, and stamp it as your state requires before signing. Amounts, percentages and timelines shown in the notes are worked examples, not recommendations for your business.</w:t>
      </w:r>
    </w:p>
    <w:p>
      <w:pPr>
        <w:pStyle w:val="Heading1"/>
      </w:pPr>
      <w:r>
        <w:t>Key terms</w:t>
      </w:r>
    </w:p>
    <w:tbl>
      <w:tblPr>
        <w:tblStyle w:val="TableGrid"/>
        <w:tblW w:type="auto" w:w="0"/>
        <w:jc w:val="center"/>
        <w:tblLook w:firstColumn="1" w:firstRow="1" w:lastColumn="0" w:lastRow="0" w:noHBand="0" w:noVBand="1" w:val="04A0"/>
      </w:tblPr>
      <w:tblGrid>
        <w:gridCol w:w="4873"/>
        <w:gridCol w:w="4873"/>
      </w:tblGrid>
      <w:tr>
        <w:tc>
          <w:tcPr>
            <w:tcW w:type="dxa" w:w="2608"/>
            <w:shd w:val="clear" w:color="auto" w:fill="0B1B4B"/>
          </w:tcPr>
          <w:p>
            <w:pPr>
              <w:spacing w:after="40"/>
            </w:pPr>
            <w:r/>
            <w:r>
              <w:rPr>
                <w:b/>
                <w:color w:val="FFFFFF"/>
                <w:sz w:val="19"/>
              </w:rPr>
              <w:t>Item</w:t>
            </w:r>
          </w:p>
        </w:tc>
        <w:tc>
          <w:tcPr>
            <w:tcW w:type="dxa" w:w="6576"/>
            <w:shd w:val="clear" w:color="auto" w:fill="0B1B4B"/>
          </w:tcPr>
          <w:p>
            <w:pPr>
              <w:spacing w:after="40"/>
            </w:pPr>
            <w:r/>
            <w:r>
              <w:rPr>
                <w:b/>
                <w:color w:val="FFFFFF"/>
                <w:sz w:val="19"/>
              </w:rPr>
              <w:t>Details to fill in</w:t>
            </w:r>
          </w:p>
        </w:tc>
      </w:tr>
      <w:tr>
        <w:tc>
          <w:tcPr>
            <w:tcW w:type="dxa" w:w="2608"/>
          </w:tcPr>
          <w:p>
            <w:pPr>
              <w:spacing w:after="40"/>
            </w:pPr>
            <w:r/>
            <w:r>
              <w:rPr>
                <w:sz w:val="19"/>
              </w:rPr>
              <w:t>Agreement number and date</w:t>
            </w:r>
          </w:p>
        </w:tc>
        <w:tc>
          <w:tcPr>
            <w:tcW w:type="dxa" w:w="6576"/>
          </w:tcPr>
          <w:p>
            <w:pPr>
              <w:spacing w:after="40"/>
            </w:pPr>
            <w:r/>
            <w:r>
              <w:rPr>
                <w:sz w:val="19"/>
              </w:rPr>
              <w:t>EPA-________ dated ____ / ____ / ________</w:t>
            </w:r>
          </w:p>
        </w:tc>
      </w:tr>
      <w:tr>
        <w:tc>
          <w:tcPr>
            <w:tcW w:type="dxa" w:w="2608"/>
          </w:tcPr>
          <w:p>
            <w:pPr>
              <w:spacing w:after="40"/>
            </w:pPr>
            <w:r/>
            <w:r>
              <w:rPr>
                <w:sz w:val="19"/>
              </w:rPr>
              <w:t>Planner (the "Planner")</w:t>
            </w:r>
          </w:p>
        </w:tc>
        <w:tc>
          <w:tcPr>
            <w:tcW w:type="dxa" w:w="6576"/>
          </w:tcPr>
          <w:p>
            <w:pPr>
              <w:spacing w:after="40"/>
            </w:pPr>
            <w:r/>
            <w:r>
              <w:rPr>
                <w:sz w:val="19"/>
              </w:rPr>
              <w:t>Name of company / firm / proprietor: ______________________  PAN: __________  GSTIN: ______________________</w:t>
              <w:br/>
              <w:t>Registered address: ______________________________________________</w:t>
            </w:r>
          </w:p>
        </w:tc>
      </w:tr>
      <w:tr>
        <w:tc>
          <w:tcPr>
            <w:tcW w:type="dxa" w:w="2608"/>
          </w:tcPr>
          <w:p>
            <w:pPr>
              <w:spacing w:after="40"/>
            </w:pPr>
            <w:r/>
            <w:r>
              <w:rPr>
                <w:sz w:val="19"/>
              </w:rPr>
              <w:t>Client (the "Client")</w:t>
            </w:r>
          </w:p>
        </w:tc>
        <w:tc>
          <w:tcPr>
            <w:tcW w:type="dxa" w:w="6576"/>
          </w:tcPr>
          <w:p>
            <w:pPr>
              <w:spacing w:after="40"/>
            </w:pPr>
            <w:r/>
            <w:r>
              <w:rPr>
                <w:sz w:val="19"/>
              </w:rPr>
              <w:t>Name: ______________________  PAN / GSTIN (if any): ______________________</w:t>
              <w:br/>
              <w:t>Address for notices and e-mail: ______________________________________</w:t>
            </w:r>
          </w:p>
        </w:tc>
      </w:tr>
      <w:tr>
        <w:tc>
          <w:tcPr>
            <w:tcW w:type="dxa" w:w="2608"/>
          </w:tcPr>
          <w:p>
            <w:pPr>
              <w:spacing w:after="40"/>
            </w:pPr>
            <w:r/>
            <w:r>
              <w:rPr>
                <w:sz w:val="19"/>
              </w:rPr>
              <w:t>Event</w:t>
            </w:r>
          </w:p>
        </w:tc>
        <w:tc>
          <w:tcPr>
            <w:tcW w:type="dxa" w:w="6576"/>
          </w:tcPr>
          <w:p>
            <w:pPr>
              <w:spacing w:after="40"/>
            </w:pPr>
            <w:r/>
            <w:r>
              <w:rPr>
                <w:sz w:val="19"/>
              </w:rPr>
              <w:t>Type: ______________  Expected guests: ______  Estimated budget (excluding GST): INR ______________</w:t>
            </w:r>
          </w:p>
        </w:tc>
      </w:tr>
      <w:tr>
        <w:tc>
          <w:tcPr>
            <w:tcW w:type="dxa" w:w="2608"/>
          </w:tcPr>
          <w:p>
            <w:pPr>
              <w:spacing w:after="40"/>
            </w:pPr>
            <w:r/>
            <w:r>
              <w:rPr>
                <w:sz w:val="19"/>
              </w:rPr>
              <w:t>Venue and date</w:t>
            </w:r>
          </w:p>
        </w:tc>
        <w:tc>
          <w:tcPr>
            <w:tcW w:type="dxa" w:w="6576"/>
          </w:tcPr>
          <w:p>
            <w:pPr>
              <w:spacing w:after="40"/>
            </w:pPr>
            <w:r/>
            <w:r>
              <w:rPr>
                <w:sz w:val="19"/>
              </w:rPr>
              <w:t>Venue: ______________________  Event date(s): ____ / ____ / ________  Time window: ______ to ______</w:t>
            </w:r>
          </w:p>
        </w:tc>
      </w:tr>
      <w:tr>
        <w:tc>
          <w:tcPr>
            <w:tcW w:type="dxa" w:w="2608"/>
          </w:tcPr>
          <w:p>
            <w:pPr>
              <w:spacing w:after="40"/>
            </w:pPr>
            <w:r/>
            <w:r>
              <w:rPr>
                <w:sz w:val="19"/>
              </w:rPr>
              <w:t>Planner state / Place of supply</w:t>
            </w:r>
          </w:p>
        </w:tc>
        <w:tc>
          <w:tcPr>
            <w:tcW w:type="dxa" w:w="6576"/>
          </w:tcPr>
          <w:p>
            <w:pPr>
              <w:spacing w:after="40"/>
            </w:pPr>
            <w:r/>
            <w:r>
              <w:rPr>
                <w:sz w:val="19"/>
              </w:rPr>
              <w:t>State: ______________  (decides CGST + SGST versus IGST, see clause 5)</w:t>
            </w:r>
          </w:p>
        </w:tc>
      </w:tr>
    </w:tbl>
    <w:p>
      <w:pPr>
        <w:spacing w:after="40"/>
      </w:pPr>
    </w:p>
    <w:p>
      <w:pPr>
        <w:pStyle w:val="Heading2"/>
      </w:pPr>
      <w:r>
        <w:t>1. Parties and definitions</w:t>
      </w:r>
    </w:p>
    <w:p>
      <w:pPr>
        <w:ind w:left="340" w:hanging="340"/>
      </w:pPr>
      <w:r>
        <w:rPr>
          <w:b/>
        </w:rPr>
        <w:t xml:space="preserve">1.1  </w:t>
      </w:r>
      <w:r>
        <w:t>This Agreement is made between the Planner and the Client named in the Key terms. "Event" means the event described there. "Vendors" means every third party the Planner engages to deliver part of the Event. "Schedules" means Schedule A (Scope), Schedule B (Fees and payments) and Schedule C (Cancellation and refunds), each of which forms part of this Agreement.</w:t>
      </w:r>
    </w:p>
    <w:p>
      <w:pPr>
        <w:ind w:left="340" w:hanging="340"/>
      </w:pPr>
      <w:r>
        <w:rPr>
          <w:b/>
        </w:rPr>
        <w:t xml:space="preserve">1.2  </w:t>
      </w:r>
      <w:r>
        <w:t>If the Client is a company, trust or association, the person signing confirms that they are authorised to bind it, and will attach a board resolution or authority letter if the Planner asks.</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Get the legal name and PAN of the party that actually pays. Planners lose weeks chasing a family member who "arranged" the event while the invoice sits with a company that never signed. If a parent pays for a wedding, name the parent as Client and the couple as beneficiaries. Names matter because you will quote the Client's PAN on TDS paperwork later.</w:t>
      </w:r>
    </w:p>
    <w:p>
      <w:pPr>
        <w:pStyle w:val="Heading2"/>
      </w:pPr>
      <w:r>
        <w:t>2. Scope of services and deliverables</w:t>
      </w:r>
    </w:p>
    <w:p>
      <w:pPr>
        <w:ind w:left="340" w:hanging="340"/>
      </w:pPr>
      <w:r>
        <w:rPr>
          <w:b/>
        </w:rPr>
        <w:t xml:space="preserve">2.1  </w:t>
      </w:r>
      <w:r>
        <w:t>The Planner will deliver the services listed in Schedule A and nothing else. Each deliverable is stated as a count, a date or a named document so that completion can be checked.</w:t>
      </w:r>
    </w:p>
    <w:p>
      <w:pPr>
        <w:ind w:left="340" w:hanging="340"/>
      </w:pPr>
      <w:r>
        <w:rPr>
          <w:b/>
        </w:rPr>
        <w:t xml:space="preserve">2.2  </w:t>
      </w:r>
      <w:r>
        <w:t>Any service, quantity or quality not listed in Schedule A is an extra and is handled only through clause 8. The final run-of-show, once approved in writing by both parties, is the operating document for the Event day.</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Replace the word "coordination" with numbers: for example two site visits, one technical rehearsal, a run-of-show approved 7 days before the Event, a vendor contact sheet with arrival times, and an on-ground team of __ people for __ hours. A scope without counts is what clients read as "everything". Attach the run-of-show as a signed schedule because it is the paper both sides actually use at 6 pm on the day.</w:t>
      </w:r>
    </w:p>
    <w:p>
      <w:pPr>
        <w:pStyle w:val="Heading2"/>
      </w:pPr>
      <w:r>
        <w:t>3. Timeline and key dates</w:t>
      </w:r>
    </w:p>
    <w:p>
      <w:pPr>
        <w:ind w:left="340" w:hanging="340"/>
      </w:pPr>
      <w:r>
        <w:rPr>
          <w:b/>
        </w:rPr>
        <w:t xml:space="preserve">3.1  </w:t>
      </w:r>
      <w:r>
        <w:t>The Event date and time window are as stated in the Key terms. The parties will meet the following dates: concept approval by ____ / ____ / ________; vendor and budget freeze by ____ / ____ / ________; final guest count by ____ / ____ / ________ (the "Freeze Date"); run-of-show approval by ____ / ____ / ________.</w:t>
      </w:r>
    </w:p>
    <w:p>
      <w:pPr>
        <w:ind w:left="340" w:hanging="340"/>
      </w:pPr>
      <w:r>
        <w:rPr>
          <w:b/>
        </w:rPr>
        <w:t xml:space="preserve">3.2  </w:t>
      </w:r>
      <w:r>
        <w:t>Until the Planner receives the first payment under Schedule B, the Event date is held for 48 hours only. If the payment has not arrived by then, the Planner may release the date without notice.</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tentative hold with no expiry is a free option for the client at your cost. On a muhurat date in a peak month, holding a date for a fortnight can mean turning away two paying enquiries. Set a hold period you can afford (48 to 72 hours is a workable range) and say the release is automatic. Choose the freeze date around your vendors' own deadlines, usually 21 to 30 days before the Event.</w:t>
      </w:r>
    </w:p>
    <w:p>
      <w:pPr>
        <w:pStyle w:val="Heading2"/>
      </w:pPr>
      <w:r>
        <w:t>4. Fees, GST and payment milestones</w:t>
      </w:r>
    </w:p>
    <w:p>
      <w:pPr>
        <w:ind w:left="340" w:hanging="340"/>
      </w:pPr>
      <w:r>
        <w:rPr>
          <w:b/>
        </w:rPr>
        <w:t xml:space="preserve">4.1  </w:t>
      </w:r>
      <w:r>
        <w:t>The Client will pay the fees and costs set out in Schedule B. Schedule B separates the Planner's management fee from the Vendor costs, which are estimated at signing and billed at actuals within the cap stated there.</w:t>
      </w:r>
    </w:p>
    <w:p>
      <w:pPr>
        <w:ind w:left="340" w:hanging="340"/>
      </w:pPr>
      <w:r>
        <w:rPr>
          <w:b/>
        </w:rPr>
        <w:t xml:space="preserve">4.2  </w:t>
      </w:r>
      <w:r>
        <w:t>Each milestone is stated as an amount before GST. GST is payable in addition to every milestone at the rate applicable on the invoice date, and the Planner will issue a tax invoice or advance receipt voucher for each payment.</w:t>
      </w:r>
    </w:p>
    <w:p>
      <w:pPr>
        <w:ind w:left="340" w:hanging="340"/>
      </w:pPr>
      <w:r>
        <w:rPr>
          <w:b/>
        </w:rPr>
        <w:t xml:space="preserve">4.3  </w:t>
      </w:r>
      <w:r>
        <w:t>Payment is due on the date or event stated for each milestone. Amounts unpaid after seven days carry interest at ___ % per month until paid, and the Planner may pause work until the overdue amount is cleared.</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Pick one fee model on purpose. A percentage of budget is easy to explain but rewards you for the client spending more, and careful clients notice. A flat fee plus a capped handling charge on vendor bills (say 5 to 10 percent) is easier to defend when the client compares quotes. Worked example: on a INR 20,00,000 budget, a 15 percent fee is INR 3,00,000 and milestones of 30 / 40 / 30 percent are INR 6,00,000, 8,00,000 and 6,00,000 before GST. Tie every milestone to a date or a trigger. "On completion" drifts by months; "within 7 days after the Event" gets paid.</w:t>
      </w:r>
    </w:p>
    <w:p>
      <w:pPr>
        <w:pStyle w:val="Heading2"/>
      </w:pPr>
      <w:r>
        <w:t>5. Taxes and TDS</w:t>
      </w:r>
    </w:p>
    <w:p>
      <w:pPr>
        <w:ind w:left="340" w:hanging="340"/>
      </w:pPr>
      <w:r>
        <w:rPr>
          <w:b/>
        </w:rPr>
        <w:t xml:space="preserve">5.1  </w:t>
      </w:r>
      <w:r>
        <w:t>All amounts are exclusive of GST. The Planner will charge GST as applicable to event management services on the invoice date. Where the Client is in the same state as the Planner, CGST and SGST apply; where the Client is in another state, IGST applies, in line with the place-of-supply rules.</w:t>
      </w:r>
    </w:p>
    <w:p>
      <w:pPr>
        <w:ind w:left="340" w:hanging="340"/>
      </w:pPr>
      <w:r>
        <w:rPr>
          <w:b/>
        </w:rPr>
        <w:t xml:space="preserve">5.2  </w:t>
      </w:r>
      <w:r>
        <w:t>If the Client is required by law to deduct tax at source, it will deduct only the amount the law requires on the value excluding GST, deposit it on time, and give the Planner the TDS certificate within the statutory period. If the Client fails to do so, the Client will compensate the Planner for the tax credit the Planner loses as a result.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Confirm the rate and the SAC with your CA. As our GST guide on event management explains, event management services are billed at 18 percent under SAC 998397, and on a turnkey package the whole invoice is taxed at that rate. Under Section 194C, TDS is 2 percent when you (the payee) are a company or firm and 1 percent when you are an individual or HUF, on the value excluding GST. On INR 20,00,000 that is INR 40,000 at 2 percent, so your bank receives INR 23,20,000 of a INR 23,60,000 invoice until Form 16A credit comes through. The last sentence of 5.2 exists because chasing a missing 16A is a real cost.</w:t>
      </w:r>
    </w:p>
    <w:p>
      <w:pPr>
        <w:pStyle w:val="Heading2"/>
      </w:pPr>
      <w:r>
        <w:t>6. Client responsibilities and approvals</w:t>
      </w:r>
    </w:p>
    <w:p>
      <w:pPr>
        <w:ind w:left="340" w:hanging="340"/>
      </w:pPr>
      <w:r>
        <w:rPr>
          <w:b/>
        </w:rPr>
        <w:t xml:space="preserve">6.1  </w:t>
      </w:r>
      <w:r>
        <w:t>The Client will nominate one authorised contact who can approve designs, budgets and changes. Approvals sent by e-mail or WhatsApp from that person are binding.</w:t>
      </w:r>
    </w:p>
    <w:p>
      <w:pPr>
        <w:ind w:left="340" w:hanging="340"/>
      </w:pPr>
      <w:r>
        <w:rPr>
          <w:b/>
        </w:rPr>
        <w:t xml:space="preserve">6.2  </w:t>
      </w:r>
      <w:r>
        <w:t>The Client will supply the guest list, final counts, family or organisation protocols, and any permissions or documents that only the Client can provide, by the dates in clause 3. Delay by the Client extends the Planner's deadlines by the same period.</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Two approval voices (say, the bride's mother and the groom's uncle) is the most common source of rework. One named approver, in writing, protects your margin. If the Client insists on a committee, state that the Planner will act on the most recent written instruction from the nominated contact.</w:t>
      </w:r>
    </w:p>
    <w:p>
      <w:pPr>
        <w:pStyle w:val="Heading2"/>
      </w:pPr>
      <w:r>
        <w:t>7. Vendor engagement and pass-through costs</w:t>
      </w:r>
    </w:p>
    <w:p>
      <w:pPr>
        <w:ind w:left="340" w:hanging="340"/>
      </w:pPr>
      <w:r>
        <w:rPr>
          <w:b/>
        </w:rPr>
        <w:t xml:space="preserve">7.1  </w:t>
      </w:r>
      <w:r>
        <w:t>The Planner will source Vendors and will engage them either in the Planner's name or in the Client's name, as stated in Schedule B for each Vendor. Estimated Vendor costs in Schedule B are estimates. The Planner will bill actual Vendor costs, with the handling charge in Schedule B, and will share Vendor quotations with the Client before paying any advance.</w:t>
      </w:r>
    </w:p>
    <w:p>
      <w:pPr>
        <w:ind w:left="340" w:hanging="340"/>
      </w:pPr>
      <w:r>
        <w:rPr>
          <w:b/>
        </w:rPr>
        <w:t xml:space="preserve">7.2  </w:t>
      </w:r>
      <w:r>
        <w:t>The Client approves each Vendor quotation in writing before the Planner commits an advance. Vendor cancellation and forfeiture terms are passed through to the Client under Schedule C, so that the Client bears what the Planner cannot recover from the Vendor.</w:t>
      </w:r>
    </w:p>
    <w:p>
      <w:pPr>
        <w:ind w:left="340" w:hanging="340"/>
      </w:pPr>
      <w:r>
        <w:rPr>
          <w:b/>
        </w:rPr>
        <w:t xml:space="preserve">7.3  </w:t>
      </w:r>
      <w:r>
        <w:t>Where the Client insists on a Vendor of its own choice, that Vendor's performance, insurance and timing remain the Client's risk, and the Planner's only duty is to coordinate its arrival.</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Vendors chase the planner, not the family. If the decorator's contract is in your name you owe the decorator even if the client never pays you. Get written approval of the vendor's quote before you pay the advance, and pass the vendor's own cancellation terms through. If a decorator forfeits 50 percent of the advance inside 45 days, your client agreement should forfeit the same amount inside the same window. If you plan to bill vendor costs as separate reimbursements rather than in one package, ask your CA first because it changes what sits inside your GST base.</w:t>
      </w:r>
    </w:p>
    <w:p>
      <w:pPr>
        <w:pStyle w:val="Heading2"/>
      </w:pPr>
      <w:r>
        <w:t>8. Changes, extras and overtime</w:t>
      </w:r>
    </w:p>
    <w:p>
      <w:pPr>
        <w:ind w:left="340" w:hanging="340"/>
      </w:pPr>
      <w:r>
        <w:rPr>
          <w:b/>
        </w:rPr>
        <w:t xml:space="preserve">8.1  </w:t>
      </w:r>
      <w:r>
        <w:t>Any change to Schedule A, the guest count, the run-of-show or a Vendor scope after the Freeze Date is a change order. The Planner will quote it in writing with cost and timing impact, and work on it starts only after the Client approves.</w:t>
      </w:r>
    </w:p>
    <w:p>
      <w:pPr>
        <w:ind w:left="340" w:hanging="340"/>
      </w:pPr>
      <w:r>
        <w:rPr>
          <w:b/>
        </w:rPr>
        <w:t xml:space="preserve">8.2  </w:t>
      </w:r>
      <w:r>
        <w:t>If the guest count rises by more than 5 percent above the count in Schedule A, the Planner's fee and the affected Vendor costs are adjusted in the same proportion. Overtime beyond the time window in the Key terms is charged at INR ______ per hour for the Planner's on-ground team, plus any Vendor overtime at actuals.</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guest count moving from 300 to 340 is a 13 percent increase, and hospitality, seating, printed material and staffing all move with it. Say that the fee scales with the count. Otherwise you will be negotiating on the morning of the Event with no leverage. Overtime clauses are unpopular but they only cost the client money when the programme runs late, so they are easy to agree.</w:t>
      </w:r>
    </w:p>
    <w:p>
      <w:pPr>
        <w:pStyle w:val="Heading2"/>
      </w:pPr>
      <w:r>
        <w:t>9. Cancellation, postponement and refunds</w:t>
      </w:r>
    </w:p>
    <w:p>
      <w:pPr>
        <w:ind w:left="340" w:hanging="340"/>
      </w:pPr>
      <w:r>
        <w:rPr>
          <w:b/>
        </w:rPr>
        <w:t xml:space="preserve">9.1  </w:t>
      </w:r>
      <w:r>
        <w:t>The Client may cancel or postpone by written notice. The consequences are set out in Schedule C. The parties agree that the sums retained under Schedule C are a reasonable estimate of the Planner's loss from blocking the Event date and committing to Vendors, and not a penalty.</w:t>
      </w:r>
    </w:p>
    <w:p>
      <w:pPr>
        <w:ind w:left="340" w:hanging="340"/>
      </w:pPr>
      <w:r>
        <w:rPr>
          <w:b/>
        </w:rPr>
        <w:t xml:space="preserve">9.2  </w:t>
      </w:r>
      <w:r>
        <w:t>On cancellation the Planner will first retain the actual, documented Vendor amounts that cannot be recovered, then the percentage of the management fee shown in Schedule C for the notice given, and will refund the balance of amounts received. Where an amount already invoiced is refunded in part, the Planner will issue a credit note for that portion.</w:t>
      </w:r>
    </w:p>
    <w:p>
      <w:pPr>
        <w:ind w:left="340" w:hanging="340"/>
      </w:pPr>
      <w:r>
        <w:rPr>
          <w:b/>
        </w:rPr>
        <w:t xml:space="preserve">9.3  </w:t>
      </w:r>
      <w:r>
        <w:t>The Client may, once, transfer the amount paid to a new date within six months of the original Event date, subject to availability of the Planner and the Vendors, and to any fee adjustment shown in Schedule C.</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Section 74 of the Indian Contract Act lets you recover reasonable compensation, not more than the sum named in the contract, and courts look at whether the sum is reasonable. An advance called "non-refundable, full stop" invites a challenge; one tied to committed costs plus a sliding slice of your fee holds up better. Worked example (before GST): a INR 6,00,000 advance with INR 1,20,000 of non-recoverable vendor advances and 25 percent of a INR 3,00,000 fee (INR 75,000) retains INR 1,95,000 and refunds INR 4,05,000. Offering one date transfer within six months is a cheap concession that turns many refund demands into reschedules.</w:t>
      </w:r>
    </w:p>
    <w:p>
      <w:pPr>
        <w:pStyle w:val="Heading2"/>
      </w:pPr>
      <w:r>
        <w:t>10. Force majeure</w:t>
      </w:r>
    </w:p>
    <w:p>
      <w:pPr>
        <w:ind w:left="340" w:hanging="340"/>
      </w:pPr>
      <w:r>
        <w:rPr>
          <w:b/>
        </w:rPr>
        <w:t xml:space="preserve">10.1  </w:t>
      </w:r>
      <w:r>
        <w:t>Neither party is liable for delay or failure caused by an event beyond its reasonable control, including a government order, curfew or restriction on gatherings, closure of the venue, natural calamity, unseasonal rain that makes an open-air area unusable in the venue's written opinion, a bereavement in the Client's immediate family that requires the Event date to change, or the withdrawal of a lead artist for reasons of health.</w:t>
      </w:r>
    </w:p>
    <w:p>
      <w:pPr>
        <w:ind w:left="340" w:hanging="340"/>
      </w:pPr>
      <w:r>
        <w:rPr>
          <w:b/>
        </w:rPr>
        <w:t xml:space="preserve">10.2  </w:t>
      </w:r>
      <w:r>
        <w:t>The affected party will give notice within 48 hours. The parties will try in good faith to reschedule. Vendor costs already paid or committed are shared in proportion to the notice given, unspent advance is credited to a new date within six months, and neither party owes damages for the delay.</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The Contract Act does not define force majeure. Without a clause, your fallback is frustration under Section 56, which is all-or-nothing and ends the contract rather than sharing the loss. List the events that actually stop events in your city and state what happens to the money. Decide in advance who pays for an indoor rebuild after rain, for example a INR 80,000 stage and lighting re-do, or you will decide it at 4 pm on the day.</w:t>
      </w:r>
    </w:p>
    <w:p>
      <w:pPr>
        <w:pStyle w:val="Heading2"/>
      </w:pPr>
      <w:r>
        <w:t>11. Liability and indemnity</w:t>
      </w:r>
    </w:p>
    <w:p>
      <w:pPr>
        <w:ind w:left="340" w:hanging="340"/>
      </w:pPr>
      <w:r>
        <w:rPr>
          <w:b/>
        </w:rPr>
        <w:t xml:space="preserve">11.1  </w:t>
      </w:r>
      <w:r>
        <w:t>The Planner's total liability under this Agreement is limited to the management fee actually received by the Planner. The Planner is not liable for loss caused by guests, the venue, a Vendor chosen by the Client, weather, or any event covered by clause 10.</w:t>
      </w:r>
    </w:p>
    <w:p>
      <w:pPr>
        <w:ind w:left="340" w:hanging="340"/>
      </w:pPr>
      <w:r>
        <w:rPr>
          <w:b/>
        </w:rPr>
        <w:t xml:space="preserve">11.2  </w:t>
      </w:r>
      <w:r>
        <w:t>The Client will indemnify the Planner against claims arising from the Client's instructions, the Client's guests' conduct, or the Client's use of content or music without the required rights.</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Uncapped liability on a INR 20,00,000 event can end a small agency. Cap it at the fee you received (INR 3,00,000 in the example). Expect the client to ask for a higher cap; INR 5,00,000 or the total contract value are reasonable places to settle, and your insurer can tell you what you can carry.</w:t>
      </w:r>
    </w:p>
    <w:p>
      <w:pPr>
        <w:pStyle w:val="Heading2"/>
      </w:pPr>
      <w:r>
        <w:t>12. Insurance, permissions and venue rules</w:t>
      </w:r>
    </w:p>
    <w:p>
      <w:pPr>
        <w:ind w:left="340" w:hanging="340"/>
      </w:pPr>
      <w:r>
        <w:rPr>
          <w:b/>
        </w:rPr>
        <w:t xml:space="preserve">12.1  </w:t>
      </w:r>
      <w:r>
        <w:t>The party named in Schedule A obtains each licence, permission or no-objection certificate needed for the Event (for example music licences, local police or fire permissions, venue permits and any liquor permit) and bears its cost. The Planner will coordinate applications but does not warrant that a permission will be granted.</w:t>
      </w:r>
    </w:p>
    <w:p>
      <w:pPr>
        <w:ind w:left="340" w:hanging="340"/>
      </w:pPr>
      <w:r>
        <w:rPr>
          <w:b/>
        </w:rPr>
        <w:t xml:space="preserve">12.2  </w:t>
      </w:r>
      <w:r>
        <w:t>The Planner will follow the venue's written rules, including sound cut-off times, rigging and load limits and power arrangements, and will require Vendors to do the same. Fines caused by the Client's or guests' breach of those rules are the Client's cost.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Permissions differ by city and venue, so do not promise them. Allocate them in writing: who applies, who pays and what happens if a permission is refused. Ask the venue for its rules in writing at the site visit, in particular sound cut-off, rigging limits and power supply, and attach them to Schedule A.</w:t>
      </w:r>
    </w:p>
    <w:p>
      <w:pPr>
        <w:pStyle w:val="Heading2"/>
      </w:pPr>
      <w:r>
        <w:t>13. Photography, content and intellectual property</w:t>
      </w:r>
    </w:p>
    <w:p>
      <w:pPr>
        <w:ind w:left="340" w:hanging="340"/>
      </w:pPr>
      <w:r>
        <w:rPr>
          <w:b/>
        </w:rPr>
        <w:t xml:space="preserve">13.1  </w:t>
      </w:r>
      <w:r>
        <w:t>Designs, layouts and concepts created by the Planner remain the Planner's property. The Client receives a licence to use them for the Event only.</w:t>
      </w:r>
    </w:p>
    <w:p>
      <w:pPr>
        <w:ind w:left="340" w:hanging="340"/>
      </w:pPr>
      <w:r>
        <w:rPr>
          <w:b/>
        </w:rPr>
        <w:t xml:space="preserve">13.2  </w:t>
      </w:r>
      <w:r>
        <w:t>Photographs and film taken by the Planner's Vendors are licensed to the Client for personal or internal use. The Planner may show images of the Event in its portfolio and social media unless the Client objects in writing before the Event.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common arrangement is that copyright stays with the photographer, the client gets a usage licence, and the planner keeps a portfolio licence. For a private family function, respect a request for no portfolio use; it costs you little and clients remember it.</w:t>
      </w:r>
    </w:p>
    <w:p>
      <w:pPr>
        <w:pStyle w:val="Heading2"/>
      </w:pPr>
      <w:r>
        <w:t>14. Confidentiality and data</w:t>
      </w:r>
    </w:p>
    <w:p>
      <w:pPr>
        <w:ind w:left="340" w:hanging="340"/>
      </w:pPr>
      <w:r>
        <w:rPr>
          <w:b/>
        </w:rPr>
        <w:t xml:space="preserve">14.1  </w:t>
      </w:r>
      <w:r>
        <w:t>Each party keeps confidential the other's non-public information, including budgets, guest lists, personal contact details and Vendor rates, and uses it only for the Event.</w:t>
      </w:r>
    </w:p>
    <w:p>
      <w:pPr>
        <w:ind w:left="340" w:hanging="340"/>
      </w:pPr>
      <w:r>
        <w:rPr>
          <w:b/>
        </w:rPr>
        <w:t xml:space="preserve">14.2  </w:t>
      </w:r>
      <w:r>
        <w:t>The Planner will handle personal data of guests only for the Event and will delete it within ___ days after the Event unless the law requires it to be retained.</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Guest lists and phone numbers are personal data. Say what you will do with them and for how long. It also protects your vendor rates, which clients love to forward to competing planners.</w:t>
      </w:r>
    </w:p>
    <w:p>
      <w:pPr>
        <w:pStyle w:val="Heading2"/>
      </w:pPr>
      <w:r>
        <w:t>15. Notices, governing law, disputes and stamping</w:t>
      </w:r>
    </w:p>
    <w:p>
      <w:pPr>
        <w:ind w:left="340" w:hanging="340"/>
      </w:pPr>
      <w:r>
        <w:rPr>
          <w:b/>
        </w:rPr>
        <w:t xml:space="preserve">15.1  </w:t>
      </w:r>
      <w:r>
        <w:t>Notices are valid if sent to the addresses in the Key terms by e-mail with delivery to the Client's nominated contact, or by courier. This Agreement is governed by the laws of India.</w:t>
      </w:r>
    </w:p>
    <w:p>
      <w:pPr>
        <w:ind w:left="340" w:hanging="340"/>
      </w:pPr>
      <w:r>
        <w:rPr>
          <w:b/>
        </w:rPr>
        <w:t xml:space="preserve">15.2  </w:t>
      </w:r>
      <w:r>
        <w:t>The parties will first try to resolve any dispute by discussion between senior representatives for 15 days. If unresolved, the dispute will be referred to a sole arbitrator appointed by mutual consent under the Arbitration and Conciliation Act, 1996. The seat and venue of arbitration is ______________, and the language is English. Courts at ______________ have exclusive jurisdiction for interim relief.</w:t>
      </w:r>
    </w:p>
    <w:p>
      <w:pPr>
        <w:ind w:left="340" w:hanging="340"/>
      </w:pPr>
      <w:r>
        <w:rPr>
          <w:b/>
        </w:rPr>
        <w:t xml:space="preserve">15.3  </w:t>
      </w:r>
      <w:r>
        <w:t>This Agreement is executed on stamp paper or e-stamp of the value required by the law of ______________ (state) and is signed in two originals, one for each party. This Agreement, with its Schedules, is the entire agreement between the parties and replaces earlier quotations and messages on the same subject.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Stamp duty on agreements is set by each state, and under Section 35 of the Indian Stamp Act an instrument that is not duly stamped cannot be admitted in evidence until the duty and a penalty are paid. Check your state's schedule and stamp at signing, not after a dispute. Pick a seat of arbitration in your own city; it keeps a dispute cheap enough to be worth winning.</w:t>
      </w:r>
    </w:p>
    <w:p>
      <w:r>
        <w:br w:type="page"/>
      </w:r>
    </w:p>
    <w:p>
      <w:pPr>
        <w:pStyle w:val="Heading1"/>
      </w:pPr>
      <w:r>
        <w:t>Schedule A: Scope of services and deliverables</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510"/>
            <w:shd w:val="clear" w:color="auto" w:fill="0B1B4B"/>
          </w:tcPr>
          <w:p>
            <w:pPr>
              <w:spacing w:after="40"/>
            </w:pPr>
            <w:r/>
            <w:r>
              <w:rPr>
                <w:b/>
                <w:color w:val="FFFFFF"/>
                <w:sz w:val="19"/>
              </w:rPr>
              <w:t>#</w:t>
            </w:r>
          </w:p>
        </w:tc>
        <w:tc>
          <w:tcPr>
            <w:tcW w:type="dxa" w:w="3402"/>
            <w:shd w:val="clear" w:color="auto" w:fill="0B1B4B"/>
          </w:tcPr>
          <w:p>
            <w:pPr>
              <w:spacing w:after="40"/>
            </w:pPr>
            <w:r/>
            <w:r>
              <w:rPr>
                <w:b/>
                <w:color w:val="FFFFFF"/>
                <w:sz w:val="19"/>
              </w:rPr>
              <w:t>Deliverable</w:t>
            </w:r>
          </w:p>
        </w:tc>
        <w:tc>
          <w:tcPr>
            <w:tcW w:type="dxa" w:w="2948"/>
            <w:shd w:val="clear" w:color="auto" w:fill="0B1B4B"/>
          </w:tcPr>
          <w:p>
            <w:pPr>
              <w:spacing w:after="40"/>
            </w:pPr>
            <w:r/>
            <w:r>
              <w:rPr>
                <w:b/>
                <w:color w:val="FFFFFF"/>
                <w:sz w:val="19"/>
              </w:rPr>
              <w:t>Quantity / date</w:t>
            </w:r>
          </w:p>
        </w:tc>
        <w:tc>
          <w:tcPr>
            <w:tcW w:type="dxa" w:w="1474"/>
            <w:shd w:val="clear" w:color="auto" w:fill="0B1B4B"/>
          </w:tcPr>
          <w:p>
            <w:pPr>
              <w:spacing w:after="40"/>
            </w:pPr>
            <w:r/>
            <w:r>
              <w:rPr>
                <w:b/>
                <w:color w:val="FFFFFF"/>
                <w:sz w:val="19"/>
              </w:rPr>
              <w:t>Owner</w:t>
            </w:r>
          </w:p>
        </w:tc>
        <w:tc>
          <w:tcPr>
            <w:tcW w:type="dxa" w:w="850"/>
            <w:shd w:val="clear" w:color="auto" w:fill="0B1B4B"/>
          </w:tcPr>
          <w:p>
            <w:pPr>
              <w:spacing w:after="40"/>
            </w:pPr>
            <w:r/>
            <w:r>
              <w:rPr>
                <w:b/>
                <w:color w:val="FFFFFF"/>
                <w:sz w:val="19"/>
              </w:rPr>
              <w:t>Done</w:t>
            </w:r>
          </w:p>
        </w:tc>
      </w:tr>
      <w:tr>
        <w:tc>
          <w:tcPr>
            <w:tcW w:type="dxa" w:w="510"/>
          </w:tcPr>
          <w:p>
            <w:pPr>
              <w:spacing w:after="40"/>
            </w:pPr>
            <w:r/>
            <w:r>
              <w:rPr>
                <w:sz w:val="19"/>
              </w:rPr>
              <w:t>1</w:t>
            </w:r>
          </w:p>
        </w:tc>
        <w:tc>
          <w:tcPr>
            <w:tcW w:type="dxa" w:w="3402"/>
          </w:tcPr>
          <w:p>
            <w:pPr>
              <w:spacing w:after="40"/>
            </w:pPr>
            <w:r/>
            <w:r>
              <w:rPr>
                <w:sz w:val="19"/>
              </w:rPr>
              <w:t>Concept and design presentation</w:t>
            </w:r>
          </w:p>
        </w:tc>
        <w:tc>
          <w:tcPr>
            <w:tcW w:type="dxa" w:w="2948"/>
          </w:tcPr>
          <w:p>
            <w:pPr>
              <w:spacing w:after="40"/>
            </w:pPr>
            <w:r/>
            <w:r>
              <w:rPr>
                <w:sz w:val="19"/>
              </w:rPr>
              <w:t>1 presentation, approved by ____ / ____</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2</w:t>
            </w:r>
          </w:p>
        </w:tc>
        <w:tc>
          <w:tcPr>
            <w:tcW w:type="dxa" w:w="3402"/>
          </w:tcPr>
          <w:p>
            <w:pPr>
              <w:spacing w:after="40"/>
            </w:pPr>
            <w:r/>
            <w:r>
              <w:rPr>
                <w:sz w:val="19"/>
              </w:rPr>
              <w:t>Site visits with the Client / venue</w:t>
            </w:r>
          </w:p>
        </w:tc>
        <w:tc>
          <w:tcPr>
            <w:tcW w:type="dxa" w:w="2948"/>
          </w:tcPr>
          <w:p>
            <w:pPr>
              <w:spacing w:after="40"/>
            </w:pPr>
            <w:r/>
            <w:r>
              <w:rPr>
                <w:sz w:val="19"/>
              </w:rPr>
              <w:t>__ visits</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3</w:t>
            </w:r>
          </w:p>
        </w:tc>
        <w:tc>
          <w:tcPr>
            <w:tcW w:type="dxa" w:w="3402"/>
          </w:tcPr>
          <w:p>
            <w:pPr>
              <w:spacing w:after="40"/>
            </w:pPr>
            <w:r/>
            <w:r>
              <w:rPr>
                <w:sz w:val="19"/>
              </w:rPr>
              <w:t>Vendor shortlist with quotations</w:t>
            </w:r>
          </w:p>
        </w:tc>
        <w:tc>
          <w:tcPr>
            <w:tcW w:type="dxa" w:w="2948"/>
          </w:tcPr>
          <w:p>
            <w:pPr>
              <w:spacing w:after="40"/>
            </w:pPr>
            <w:r/>
            <w:r>
              <w:rPr>
                <w:sz w:val="19"/>
              </w:rPr>
              <w:t>__ quotations per major vendor</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4</w:t>
            </w:r>
          </w:p>
        </w:tc>
        <w:tc>
          <w:tcPr>
            <w:tcW w:type="dxa" w:w="3402"/>
          </w:tcPr>
          <w:p>
            <w:pPr>
              <w:spacing w:after="40"/>
            </w:pPr>
            <w:r/>
            <w:r>
              <w:rPr>
                <w:sz w:val="19"/>
              </w:rPr>
              <w:t>Run-of-show and vendor contact sheet</w:t>
            </w:r>
          </w:p>
        </w:tc>
        <w:tc>
          <w:tcPr>
            <w:tcW w:type="dxa" w:w="2948"/>
          </w:tcPr>
          <w:p>
            <w:pPr>
              <w:spacing w:after="40"/>
            </w:pPr>
            <w:r/>
            <w:r>
              <w:rPr>
                <w:sz w:val="19"/>
              </w:rPr>
              <w:t>Final by ____ / ____ (7 days before)</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5</w:t>
            </w:r>
          </w:p>
        </w:tc>
        <w:tc>
          <w:tcPr>
            <w:tcW w:type="dxa" w:w="3402"/>
          </w:tcPr>
          <w:p>
            <w:pPr>
              <w:spacing w:after="40"/>
            </w:pPr>
            <w:r/>
            <w:r>
              <w:rPr>
                <w:sz w:val="19"/>
              </w:rPr>
              <w:t>Technical rehearsal</w:t>
            </w:r>
          </w:p>
        </w:tc>
        <w:tc>
          <w:tcPr>
            <w:tcW w:type="dxa" w:w="2948"/>
          </w:tcPr>
          <w:p>
            <w:pPr>
              <w:spacing w:after="40"/>
            </w:pPr>
            <w:r/>
            <w:r>
              <w:rPr>
                <w:sz w:val="19"/>
              </w:rPr>
              <w:t>1 rehearsal on ____ / ____</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6</w:t>
            </w:r>
          </w:p>
        </w:tc>
        <w:tc>
          <w:tcPr>
            <w:tcW w:type="dxa" w:w="3402"/>
          </w:tcPr>
          <w:p>
            <w:pPr>
              <w:spacing w:after="40"/>
            </w:pPr>
            <w:r/>
            <w:r>
              <w:rPr>
                <w:sz w:val="19"/>
              </w:rPr>
              <w:t>On-ground team on Event day</w:t>
            </w:r>
          </w:p>
        </w:tc>
        <w:tc>
          <w:tcPr>
            <w:tcW w:type="dxa" w:w="2948"/>
          </w:tcPr>
          <w:p>
            <w:pPr>
              <w:spacing w:after="40"/>
            </w:pPr>
            <w:r/>
            <w:r>
              <w:rPr>
                <w:sz w:val="19"/>
              </w:rPr>
              <w:t>__ people for __ hours</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7</w:t>
            </w:r>
          </w:p>
        </w:tc>
        <w:tc>
          <w:tcPr>
            <w:tcW w:type="dxa" w:w="3402"/>
          </w:tcPr>
          <w:p>
            <w:pPr>
              <w:spacing w:after="40"/>
            </w:pPr>
            <w:r/>
            <w:r>
              <w:rPr>
                <w:sz w:val="19"/>
              </w:rPr>
              <w:t>Licences and permissions</w:t>
            </w:r>
          </w:p>
        </w:tc>
        <w:tc>
          <w:tcPr>
            <w:tcW w:type="dxa" w:w="2948"/>
          </w:tcPr>
          <w:p>
            <w:pPr>
              <w:spacing w:after="40"/>
            </w:pPr>
            <w:r/>
            <w:r>
              <w:rPr>
                <w:sz w:val="19"/>
              </w:rPr>
              <w:t>List each: ____________________</w:t>
            </w:r>
          </w:p>
        </w:tc>
        <w:tc>
          <w:tcPr>
            <w:tcW w:type="dxa" w:w="1474"/>
          </w:tcPr>
          <w:p>
            <w:pPr>
              <w:spacing w:after="40"/>
            </w:pPr>
            <w:r/>
            <w:r>
              <w:rPr>
                <w:sz w:val="19"/>
              </w:rPr>
              <w:t>Client / Planner</w:t>
            </w:r>
          </w:p>
        </w:tc>
        <w:tc>
          <w:tcPr>
            <w:tcW w:type="dxa" w:w="850"/>
          </w:tcPr>
          <w:p>
            <w:pPr>
              <w:spacing w:after="40"/>
            </w:pPr>
            <w:r/>
            <w:r>
              <w:rPr>
                <w:sz w:val="19"/>
              </w:rPr>
            </w:r>
          </w:p>
        </w:tc>
      </w:tr>
      <w:tr>
        <w:tc>
          <w:tcPr>
            <w:tcW w:type="dxa" w:w="510"/>
          </w:tcPr>
          <w:p>
            <w:pPr>
              <w:spacing w:after="40"/>
            </w:pPr>
            <w:r/>
            <w:r>
              <w:rPr>
                <w:sz w:val="19"/>
              </w:rPr>
              <w:t>8</w:t>
            </w:r>
          </w:p>
        </w:tc>
        <w:tc>
          <w:tcPr>
            <w:tcW w:type="dxa" w:w="3402"/>
          </w:tcPr>
          <w:p>
            <w:pPr>
              <w:spacing w:after="40"/>
            </w:pPr>
            <w:r/>
            <w:r>
              <w:rPr>
                <w:sz w:val="19"/>
              </w:rPr>
              <w:t>Venue rules received in writing</w:t>
            </w:r>
          </w:p>
        </w:tc>
        <w:tc>
          <w:tcPr>
            <w:tcW w:type="dxa" w:w="2948"/>
          </w:tcPr>
          <w:p>
            <w:pPr>
              <w:spacing w:after="40"/>
            </w:pPr>
            <w:r/>
            <w:r>
              <w:rPr>
                <w:sz w:val="19"/>
              </w:rPr>
              <w:t>Attach copy</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9</w:t>
            </w:r>
          </w:p>
        </w:tc>
        <w:tc>
          <w:tcPr>
            <w:tcW w:type="dxa" w:w="3402"/>
          </w:tcPr>
          <w:p>
            <w:pPr>
              <w:spacing w:after="40"/>
            </w:pPr>
            <w:r/>
            <w:r>
              <w:rPr>
                <w:sz w:val="19"/>
              </w:rPr>
              <w:t>Guest count freeze</w:t>
            </w:r>
          </w:p>
        </w:tc>
        <w:tc>
          <w:tcPr>
            <w:tcW w:type="dxa" w:w="2948"/>
          </w:tcPr>
          <w:p>
            <w:pPr>
              <w:spacing w:after="40"/>
            </w:pPr>
            <w:r/>
            <w:r>
              <w:rPr>
                <w:sz w:val="19"/>
              </w:rPr>
              <w:t>Final count by ____ / ____</w:t>
            </w:r>
          </w:p>
        </w:tc>
        <w:tc>
          <w:tcPr>
            <w:tcW w:type="dxa" w:w="1474"/>
          </w:tcPr>
          <w:p>
            <w:pPr>
              <w:spacing w:after="40"/>
            </w:pPr>
            <w:r/>
            <w:r>
              <w:rPr>
                <w:sz w:val="19"/>
              </w:rPr>
              <w:t>Client</w:t>
            </w:r>
          </w:p>
        </w:tc>
        <w:tc>
          <w:tcPr>
            <w:tcW w:type="dxa" w:w="850"/>
          </w:tcPr>
          <w:p>
            <w:pPr>
              <w:spacing w:after="40"/>
            </w:pPr>
            <w:r/>
            <w:r>
              <w:rPr>
                <w:sz w:val="19"/>
              </w:rPr>
            </w:r>
          </w:p>
        </w:tc>
      </w:tr>
    </w:tbl>
    <w:p>
      <w:pPr>
        <w:spacing w:after="40"/>
      </w:pPr>
    </w:p>
    <w:p>
      <w:pPr>
        <w:pStyle w:val="Heading1"/>
      </w:pPr>
      <w:r>
        <w:t>Schedule B: Fees and payment milestones</w:t>
      </w:r>
    </w:p>
    <w:p>
      <w:r>
        <w:rPr>
          <w:b w:val="0"/>
          <w:i/>
          <w:color w:val="556075"/>
          <w:sz w:val="19"/>
        </w:rPr>
        <w:t>Worked example shown in the last column: a INR 20,00,000 corporate annual day for 300 guests, planner and client in the same state. Replace with your own figures.</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3175"/>
            <w:shd w:val="clear" w:color="auto" w:fill="0B1B4B"/>
          </w:tcPr>
          <w:p>
            <w:pPr>
              <w:spacing w:after="40"/>
            </w:pPr>
            <w:r/>
            <w:r>
              <w:rPr>
                <w:b/>
                <w:color w:val="FFFFFF"/>
                <w:sz w:val="19"/>
              </w:rPr>
              <w:t>Line</w:t>
            </w:r>
          </w:p>
        </w:tc>
        <w:tc>
          <w:tcPr>
            <w:tcW w:type="dxa" w:w="2041"/>
            <w:shd w:val="clear" w:color="auto" w:fill="0B1B4B"/>
          </w:tcPr>
          <w:p>
            <w:pPr>
              <w:spacing w:after="40"/>
            </w:pPr>
            <w:r/>
            <w:r>
              <w:rPr>
                <w:b/>
                <w:color w:val="FFFFFF"/>
                <w:sz w:val="19"/>
              </w:rPr>
              <w:t>Basis</w:t>
            </w:r>
          </w:p>
        </w:tc>
        <w:tc>
          <w:tcPr>
            <w:tcW w:type="dxa" w:w="1814"/>
            <w:shd w:val="clear" w:color="auto" w:fill="0B1B4B"/>
          </w:tcPr>
          <w:p>
            <w:pPr>
              <w:spacing w:after="40"/>
            </w:pPr>
            <w:r/>
            <w:r>
              <w:rPr>
                <w:b/>
                <w:color w:val="FFFFFF"/>
                <w:sz w:val="19"/>
              </w:rPr>
              <w:t>Your figure (INR)</w:t>
            </w:r>
          </w:p>
        </w:tc>
        <w:tc>
          <w:tcPr>
            <w:tcW w:type="dxa" w:w="2154"/>
            <w:shd w:val="clear" w:color="auto" w:fill="0B1B4B"/>
          </w:tcPr>
          <w:p>
            <w:pPr>
              <w:spacing w:after="40"/>
            </w:pPr>
            <w:r/>
            <w:r>
              <w:rPr>
                <w:b/>
                <w:color w:val="FFFFFF"/>
                <w:sz w:val="19"/>
              </w:rPr>
              <w:t>Worked example (INR)</w:t>
            </w:r>
          </w:p>
        </w:tc>
      </w:tr>
      <w:tr>
        <w:tc>
          <w:tcPr>
            <w:tcW w:type="dxa" w:w="3175"/>
          </w:tcPr>
          <w:p>
            <w:pPr>
              <w:spacing w:after="40"/>
            </w:pPr>
            <w:r/>
            <w:r>
              <w:rPr>
                <w:sz w:val="19"/>
              </w:rPr>
              <w:t>Planner management fee</w:t>
            </w:r>
          </w:p>
        </w:tc>
        <w:tc>
          <w:tcPr>
            <w:tcW w:type="dxa" w:w="2041"/>
          </w:tcPr>
          <w:p>
            <w:pPr>
              <w:spacing w:after="40"/>
            </w:pPr>
            <w:r/>
            <w:r>
              <w:rPr>
                <w:sz w:val="19"/>
              </w:rPr>
              <w:t>__ % of budget or flat</w:t>
            </w:r>
          </w:p>
        </w:tc>
        <w:tc>
          <w:tcPr>
            <w:tcW w:type="dxa" w:w="1814"/>
          </w:tcPr>
          <w:p>
            <w:pPr>
              <w:spacing w:after="40"/>
            </w:pPr>
            <w:r/>
            <w:r>
              <w:rPr>
                <w:sz w:val="19"/>
              </w:rPr>
              <w:t>______________</w:t>
            </w:r>
          </w:p>
        </w:tc>
        <w:tc>
          <w:tcPr>
            <w:tcW w:type="dxa" w:w="2154"/>
          </w:tcPr>
          <w:p>
            <w:pPr>
              <w:spacing w:after="40"/>
            </w:pPr>
            <w:r/>
            <w:r>
              <w:rPr>
                <w:sz w:val="19"/>
              </w:rPr>
              <w:t>3,00,000 (15% of 20,00,000)</w:t>
            </w:r>
          </w:p>
        </w:tc>
      </w:tr>
      <w:tr>
        <w:tc>
          <w:tcPr>
            <w:tcW w:type="dxa" w:w="3175"/>
          </w:tcPr>
          <w:p>
            <w:pPr>
              <w:spacing w:after="40"/>
            </w:pPr>
            <w:r/>
            <w:r>
              <w:rPr>
                <w:sz w:val="19"/>
              </w:rPr>
              <w:t>Vendor costs, estimate (billed at actuals)</w:t>
            </w:r>
          </w:p>
        </w:tc>
        <w:tc>
          <w:tcPr>
            <w:tcW w:type="dxa" w:w="2041"/>
          </w:tcPr>
          <w:p>
            <w:pPr>
              <w:spacing w:after="40"/>
            </w:pPr>
            <w:r/>
            <w:r>
              <w:rPr>
                <w:sz w:val="19"/>
              </w:rPr>
              <w:t>Cap: ______________</w:t>
            </w:r>
          </w:p>
        </w:tc>
        <w:tc>
          <w:tcPr>
            <w:tcW w:type="dxa" w:w="1814"/>
          </w:tcPr>
          <w:p>
            <w:pPr>
              <w:spacing w:after="40"/>
            </w:pPr>
            <w:r/>
            <w:r>
              <w:rPr>
                <w:sz w:val="19"/>
              </w:rPr>
              <w:t>______________</w:t>
            </w:r>
          </w:p>
        </w:tc>
        <w:tc>
          <w:tcPr>
            <w:tcW w:type="dxa" w:w="2154"/>
          </w:tcPr>
          <w:p>
            <w:pPr>
              <w:spacing w:after="40"/>
            </w:pPr>
            <w:r/>
            <w:r>
              <w:rPr>
                <w:sz w:val="19"/>
              </w:rPr>
              <w:t>17,00,000</w:t>
            </w:r>
          </w:p>
        </w:tc>
      </w:tr>
      <w:tr>
        <w:tc>
          <w:tcPr>
            <w:tcW w:type="dxa" w:w="3175"/>
          </w:tcPr>
          <w:p>
            <w:pPr>
              <w:spacing w:after="40"/>
            </w:pPr>
            <w:r/>
            <w:r>
              <w:rPr>
                <w:sz w:val="19"/>
              </w:rPr>
              <w:t>Handling charge on Vendor bills</w:t>
            </w:r>
          </w:p>
        </w:tc>
        <w:tc>
          <w:tcPr>
            <w:tcW w:type="dxa" w:w="2041"/>
          </w:tcPr>
          <w:p>
            <w:pPr>
              <w:spacing w:after="40"/>
            </w:pPr>
            <w:r/>
            <w:r>
              <w:rPr>
                <w:sz w:val="19"/>
              </w:rPr>
              <w:t>__ %</w:t>
            </w:r>
          </w:p>
        </w:tc>
        <w:tc>
          <w:tcPr>
            <w:tcW w:type="dxa" w:w="1814"/>
          </w:tcPr>
          <w:p>
            <w:pPr>
              <w:spacing w:after="40"/>
            </w:pPr>
            <w:r/>
            <w:r>
              <w:rPr>
                <w:sz w:val="19"/>
              </w:rPr>
              <w:t>______________</w:t>
            </w:r>
          </w:p>
        </w:tc>
        <w:tc>
          <w:tcPr>
            <w:tcW w:type="dxa" w:w="2154"/>
          </w:tcPr>
          <w:p>
            <w:pPr>
              <w:spacing w:after="40"/>
            </w:pPr>
            <w:r/>
            <w:r>
              <w:rPr>
                <w:sz w:val="19"/>
              </w:rPr>
              <w:t>included above</w:t>
            </w:r>
          </w:p>
        </w:tc>
      </w:tr>
      <w:tr>
        <w:tc>
          <w:tcPr>
            <w:tcW w:type="dxa" w:w="3175"/>
          </w:tcPr>
          <w:p>
            <w:pPr>
              <w:spacing w:after="40"/>
            </w:pPr>
            <w:r/>
            <w:r>
              <w:rPr>
                <w:sz w:val="19"/>
              </w:rPr>
              <w:t>Taxable value of contract</w:t>
            </w:r>
          </w:p>
        </w:tc>
        <w:tc>
          <w:tcPr>
            <w:tcW w:type="dxa" w:w="2041"/>
          </w:tcPr>
          <w:p>
            <w:pPr>
              <w:spacing w:after="40"/>
            </w:pPr>
            <w:r/>
            <w:r>
              <w:rPr>
                <w:sz w:val="19"/>
              </w:rPr>
            </w:r>
          </w:p>
        </w:tc>
        <w:tc>
          <w:tcPr>
            <w:tcW w:type="dxa" w:w="1814"/>
          </w:tcPr>
          <w:p>
            <w:pPr>
              <w:spacing w:after="40"/>
            </w:pPr>
            <w:r/>
            <w:r>
              <w:rPr>
                <w:sz w:val="19"/>
              </w:rPr>
              <w:t>______________</w:t>
            </w:r>
          </w:p>
        </w:tc>
        <w:tc>
          <w:tcPr>
            <w:tcW w:type="dxa" w:w="2154"/>
          </w:tcPr>
          <w:p>
            <w:pPr>
              <w:spacing w:after="40"/>
            </w:pPr>
            <w:r/>
            <w:r>
              <w:rPr>
                <w:sz w:val="19"/>
              </w:rPr>
              <w:t>20,00,000</w:t>
            </w:r>
          </w:p>
        </w:tc>
      </w:tr>
      <w:tr>
        <w:tc>
          <w:tcPr>
            <w:tcW w:type="dxa" w:w="3175"/>
          </w:tcPr>
          <w:p>
            <w:pPr>
              <w:spacing w:after="40"/>
            </w:pPr>
            <w:r/>
            <w:r>
              <w:rPr>
                <w:sz w:val="19"/>
              </w:rPr>
              <w:t>Milestone 1: on signing</w:t>
            </w:r>
          </w:p>
        </w:tc>
        <w:tc>
          <w:tcPr>
            <w:tcW w:type="dxa" w:w="2041"/>
          </w:tcPr>
          <w:p>
            <w:pPr>
              <w:spacing w:after="40"/>
            </w:pPr>
            <w:r/>
            <w:r>
              <w:rPr>
                <w:sz w:val="19"/>
              </w:rPr>
              <w:t>__ %</w:t>
            </w:r>
          </w:p>
        </w:tc>
        <w:tc>
          <w:tcPr>
            <w:tcW w:type="dxa" w:w="1814"/>
          </w:tcPr>
          <w:p>
            <w:pPr>
              <w:spacing w:after="40"/>
            </w:pPr>
            <w:r/>
            <w:r>
              <w:rPr>
                <w:sz w:val="19"/>
              </w:rPr>
              <w:t>______________</w:t>
            </w:r>
          </w:p>
        </w:tc>
        <w:tc>
          <w:tcPr>
            <w:tcW w:type="dxa" w:w="2154"/>
          </w:tcPr>
          <w:p>
            <w:pPr>
              <w:spacing w:after="40"/>
            </w:pPr>
            <w:r/>
            <w:r>
              <w:rPr>
                <w:sz w:val="19"/>
              </w:rPr>
              <w:t>6,00,000 (30%)</w:t>
            </w:r>
          </w:p>
        </w:tc>
      </w:tr>
      <w:tr>
        <w:tc>
          <w:tcPr>
            <w:tcW w:type="dxa" w:w="3175"/>
          </w:tcPr>
          <w:p>
            <w:pPr>
              <w:spacing w:after="40"/>
            </w:pPr>
            <w:r/>
            <w:r>
              <w:rPr>
                <w:sz w:val="19"/>
              </w:rPr>
              <w:t>Milestone 2: ___ days before Event</w:t>
            </w:r>
          </w:p>
        </w:tc>
        <w:tc>
          <w:tcPr>
            <w:tcW w:type="dxa" w:w="2041"/>
          </w:tcPr>
          <w:p>
            <w:pPr>
              <w:spacing w:after="40"/>
            </w:pPr>
            <w:r/>
            <w:r>
              <w:rPr>
                <w:sz w:val="19"/>
              </w:rPr>
              <w:t>__ %</w:t>
            </w:r>
          </w:p>
        </w:tc>
        <w:tc>
          <w:tcPr>
            <w:tcW w:type="dxa" w:w="1814"/>
          </w:tcPr>
          <w:p>
            <w:pPr>
              <w:spacing w:after="40"/>
            </w:pPr>
            <w:r/>
            <w:r>
              <w:rPr>
                <w:sz w:val="19"/>
              </w:rPr>
              <w:t>______________</w:t>
            </w:r>
          </w:p>
        </w:tc>
        <w:tc>
          <w:tcPr>
            <w:tcW w:type="dxa" w:w="2154"/>
          </w:tcPr>
          <w:p>
            <w:pPr>
              <w:spacing w:after="40"/>
            </w:pPr>
            <w:r/>
            <w:r>
              <w:rPr>
                <w:sz w:val="19"/>
              </w:rPr>
              <w:t>8,00,000 (40%)</w:t>
            </w:r>
          </w:p>
        </w:tc>
      </w:tr>
      <w:tr>
        <w:tc>
          <w:tcPr>
            <w:tcW w:type="dxa" w:w="3175"/>
          </w:tcPr>
          <w:p>
            <w:pPr>
              <w:spacing w:after="40"/>
            </w:pPr>
            <w:r/>
            <w:r>
              <w:rPr>
                <w:sz w:val="19"/>
              </w:rPr>
              <w:t>Milestone 3: within ___ days after Event</w:t>
            </w:r>
          </w:p>
        </w:tc>
        <w:tc>
          <w:tcPr>
            <w:tcW w:type="dxa" w:w="2041"/>
          </w:tcPr>
          <w:p>
            <w:pPr>
              <w:spacing w:after="40"/>
            </w:pPr>
            <w:r/>
            <w:r>
              <w:rPr>
                <w:sz w:val="19"/>
              </w:rPr>
              <w:t>__ %</w:t>
            </w:r>
          </w:p>
        </w:tc>
        <w:tc>
          <w:tcPr>
            <w:tcW w:type="dxa" w:w="1814"/>
          </w:tcPr>
          <w:p>
            <w:pPr>
              <w:spacing w:after="40"/>
            </w:pPr>
            <w:r/>
            <w:r>
              <w:rPr>
                <w:sz w:val="19"/>
              </w:rPr>
              <w:t>______________</w:t>
            </w:r>
          </w:p>
        </w:tc>
        <w:tc>
          <w:tcPr>
            <w:tcW w:type="dxa" w:w="2154"/>
          </w:tcPr>
          <w:p>
            <w:pPr>
              <w:spacing w:after="40"/>
            </w:pPr>
            <w:r/>
            <w:r>
              <w:rPr>
                <w:sz w:val="19"/>
              </w:rPr>
              <w:t>6,00,000 (30%)</w:t>
            </w:r>
          </w:p>
        </w:tc>
      </w:tr>
      <w:tr>
        <w:tc>
          <w:tcPr>
            <w:tcW w:type="dxa" w:w="3175"/>
          </w:tcPr>
          <w:p>
            <w:pPr>
              <w:spacing w:after="40"/>
            </w:pPr>
            <w:r/>
            <w:r>
              <w:rPr>
                <w:sz w:val="19"/>
              </w:rPr>
              <w:t>GST @ 18% (SAC 998397), CGST + SGST or IGST</w:t>
            </w:r>
          </w:p>
        </w:tc>
        <w:tc>
          <w:tcPr>
            <w:tcW w:type="dxa" w:w="2041"/>
          </w:tcPr>
          <w:p>
            <w:pPr>
              <w:spacing w:after="40"/>
            </w:pPr>
            <w:r/>
            <w:r>
              <w:rPr>
                <w:sz w:val="19"/>
              </w:rPr>
              <w:t>Confirm with CA</w:t>
            </w:r>
          </w:p>
        </w:tc>
        <w:tc>
          <w:tcPr>
            <w:tcW w:type="dxa" w:w="1814"/>
          </w:tcPr>
          <w:p>
            <w:pPr>
              <w:spacing w:after="40"/>
            </w:pPr>
            <w:r/>
            <w:r>
              <w:rPr>
                <w:sz w:val="19"/>
              </w:rPr>
              <w:t>______________</w:t>
            </w:r>
          </w:p>
        </w:tc>
        <w:tc>
          <w:tcPr>
            <w:tcW w:type="dxa" w:w="2154"/>
          </w:tcPr>
          <w:p>
            <w:pPr>
              <w:spacing w:after="40"/>
            </w:pPr>
            <w:r/>
            <w:r>
              <w:rPr>
                <w:sz w:val="19"/>
              </w:rPr>
              <w:t>3,60,000 (1,80,000 + 1,80,000)</w:t>
            </w:r>
          </w:p>
        </w:tc>
      </w:tr>
      <w:tr>
        <w:tc>
          <w:tcPr>
            <w:tcW w:type="dxa" w:w="3175"/>
          </w:tcPr>
          <w:p>
            <w:pPr>
              <w:spacing w:after="40"/>
            </w:pPr>
            <w:r/>
            <w:r>
              <w:rPr>
                <w:sz w:val="19"/>
              </w:rPr>
              <w:t>Contract value including GST</w:t>
            </w:r>
          </w:p>
        </w:tc>
        <w:tc>
          <w:tcPr>
            <w:tcW w:type="dxa" w:w="2041"/>
          </w:tcPr>
          <w:p>
            <w:pPr>
              <w:spacing w:after="40"/>
            </w:pPr>
            <w:r/>
            <w:r>
              <w:rPr>
                <w:sz w:val="19"/>
              </w:rPr>
            </w:r>
          </w:p>
        </w:tc>
        <w:tc>
          <w:tcPr>
            <w:tcW w:type="dxa" w:w="1814"/>
          </w:tcPr>
          <w:p>
            <w:pPr>
              <w:spacing w:after="40"/>
            </w:pPr>
            <w:r/>
            <w:r>
              <w:rPr>
                <w:sz w:val="19"/>
              </w:rPr>
              <w:t>______________</w:t>
            </w:r>
          </w:p>
        </w:tc>
        <w:tc>
          <w:tcPr>
            <w:tcW w:type="dxa" w:w="2154"/>
          </w:tcPr>
          <w:p>
            <w:pPr>
              <w:spacing w:after="40"/>
            </w:pPr>
            <w:r/>
            <w:r>
              <w:rPr>
                <w:sz w:val="19"/>
              </w:rPr>
              <w:t>23,60,000</w:t>
            </w:r>
          </w:p>
        </w:tc>
      </w:tr>
      <w:tr>
        <w:tc>
          <w:tcPr>
            <w:tcW w:type="dxa" w:w="3175"/>
          </w:tcPr>
          <w:p>
            <w:pPr>
              <w:spacing w:after="40"/>
            </w:pPr>
            <w:r/>
            <w:r>
              <w:rPr>
                <w:sz w:val="19"/>
              </w:rPr>
              <w:t>TDS if deducted (Section 194C, on value excl. GST)</w:t>
            </w:r>
          </w:p>
        </w:tc>
        <w:tc>
          <w:tcPr>
            <w:tcW w:type="dxa" w:w="2041"/>
          </w:tcPr>
          <w:p>
            <w:pPr>
              <w:spacing w:after="40"/>
            </w:pPr>
            <w:r/>
            <w:r>
              <w:rPr>
                <w:sz w:val="19"/>
              </w:rPr>
              <w:t>2% company/firm, 1% individual/HUF</w:t>
            </w:r>
          </w:p>
        </w:tc>
        <w:tc>
          <w:tcPr>
            <w:tcW w:type="dxa" w:w="1814"/>
          </w:tcPr>
          <w:p>
            <w:pPr>
              <w:spacing w:after="40"/>
            </w:pPr>
            <w:r/>
            <w:r>
              <w:rPr>
                <w:sz w:val="19"/>
              </w:rPr>
              <w:t>______________</w:t>
            </w:r>
          </w:p>
        </w:tc>
        <w:tc>
          <w:tcPr>
            <w:tcW w:type="dxa" w:w="2154"/>
          </w:tcPr>
          <w:p>
            <w:pPr>
              <w:spacing w:after="40"/>
            </w:pPr>
            <w:r/>
            <w:r>
              <w:rPr>
                <w:sz w:val="19"/>
              </w:rPr>
              <w:t>40,000 at 2%</w:t>
            </w:r>
          </w:p>
        </w:tc>
      </w:tr>
    </w:tbl>
    <w:p>
      <w:pPr>
        <w:spacing w:after="40"/>
      </w:pPr>
    </w:p>
    <w:p>
      <w:pPr>
        <w:pStyle w:val="Heading1"/>
      </w:pPr>
      <w:r>
        <w:t>Schedule C: Cancellation and refunds</w:t>
      </w:r>
    </w:p>
    <w:tbl>
      <w:tblPr>
        <w:tblStyle w:val="TableGrid"/>
        <w:tblW w:type="auto" w:w="0"/>
        <w:jc w:val="center"/>
        <w:tblLook w:firstColumn="1" w:firstRow="1" w:lastColumn="0" w:lastRow="0" w:noHBand="0" w:noVBand="1" w:val="04A0"/>
      </w:tblPr>
      <w:tblGrid>
        <w:gridCol w:w="3249"/>
        <w:gridCol w:w="3249"/>
        <w:gridCol w:w="3249"/>
      </w:tblGrid>
      <w:tr>
        <w:tc>
          <w:tcPr>
            <w:tcW w:type="dxa" w:w="2381"/>
            <w:shd w:val="clear" w:color="auto" w:fill="0B1B4B"/>
          </w:tcPr>
          <w:p>
            <w:pPr>
              <w:spacing w:after="40"/>
            </w:pPr>
            <w:r/>
            <w:r>
              <w:rPr>
                <w:b/>
                <w:color w:val="FFFFFF"/>
                <w:sz w:val="19"/>
              </w:rPr>
              <w:t>Notice before Event date</w:t>
            </w:r>
          </w:p>
        </w:tc>
        <w:tc>
          <w:tcPr>
            <w:tcW w:type="dxa" w:w="3969"/>
            <w:shd w:val="clear" w:color="auto" w:fill="0B1B4B"/>
          </w:tcPr>
          <w:p>
            <w:pPr>
              <w:spacing w:after="40"/>
            </w:pPr>
            <w:r/>
            <w:r>
              <w:rPr>
                <w:b/>
                <w:color w:val="FFFFFF"/>
                <w:sz w:val="19"/>
              </w:rPr>
              <w:t>Retained by the Planner (before GST)</w:t>
            </w:r>
          </w:p>
        </w:tc>
        <w:tc>
          <w:tcPr>
            <w:tcW w:type="dxa" w:w="2835"/>
            <w:shd w:val="clear" w:color="auto" w:fill="0B1B4B"/>
          </w:tcPr>
          <w:p>
            <w:pPr>
              <w:spacing w:after="40"/>
            </w:pPr>
            <w:r/>
            <w:r>
              <w:rPr>
                <w:b/>
                <w:color w:val="FFFFFF"/>
                <w:sz w:val="19"/>
              </w:rPr>
              <w:t>Refunded to the Client</w:t>
            </w:r>
          </w:p>
        </w:tc>
      </w:tr>
      <w:tr>
        <w:tc>
          <w:tcPr>
            <w:tcW w:type="dxa" w:w="2381"/>
          </w:tcPr>
          <w:p>
            <w:pPr>
              <w:spacing w:after="40"/>
            </w:pPr>
            <w:r/>
            <w:r>
              <w:rPr>
                <w:sz w:val="19"/>
              </w:rPr>
              <w:t>More than 90 days</w:t>
            </w:r>
          </w:p>
        </w:tc>
        <w:tc>
          <w:tcPr>
            <w:tcW w:type="dxa" w:w="3969"/>
          </w:tcPr>
          <w:p>
            <w:pPr>
              <w:spacing w:after="40"/>
            </w:pPr>
            <w:r/>
            <w:r>
              <w:rPr>
                <w:sz w:val="19"/>
              </w:rPr>
              <w:t>Actual non-recoverable Vendor amounts + 25% of management fee</w:t>
            </w:r>
          </w:p>
        </w:tc>
        <w:tc>
          <w:tcPr>
            <w:tcW w:type="dxa" w:w="2835"/>
          </w:tcPr>
          <w:p>
            <w:pPr>
              <w:spacing w:after="40"/>
            </w:pPr>
            <w:r/>
            <w:r>
              <w:rPr>
                <w:sz w:val="19"/>
              </w:rPr>
              <w:t>Balance of amounts received</w:t>
            </w:r>
          </w:p>
        </w:tc>
      </w:tr>
      <w:tr>
        <w:tc>
          <w:tcPr>
            <w:tcW w:type="dxa" w:w="2381"/>
          </w:tcPr>
          <w:p>
            <w:pPr>
              <w:spacing w:after="40"/>
            </w:pPr>
            <w:r/>
            <w:r>
              <w:rPr>
                <w:sz w:val="19"/>
              </w:rPr>
              <w:t>90 to 30 days</w:t>
            </w:r>
          </w:p>
        </w:tc>
        <w:tc>
          <w:tcPr>
            <w:tcW w:type="dxa" w:w="3969"/>
          </w:tcPr>
          <w:p>
            <w:pPr>
              <w:spacing w:after="40"/>
            </w:pPr>
            <w:r/>
            <w:r>
              <w:rPr>
                <w:sz w:val="19"/>
              </w:rPr>
              <w:t>Actual non-recoverable Vendor amounts + 50% of management fee</w:t>
            </w:r>
          </w:p>
        </w:tc>
        <w:tc>
          <w:tcPr>
            <w:tcW w:type="dxa" w:w="2835"/>
          </w:tcPr>
          <w:p>
            <w:pPr>
              <w:spacing w:after="40"/>
            </w:pPr>
            <w:r/>
            <w:r>
              <w:rPr>
                <w:sz w:val="19"/>
              </w:rPr>
              <w:t>Balance of amounts received</w:t>
            </w:r>
          </w:p>
        </w:tc>
      </w:tr>
      <w:tr>
        <w:tc>
          <w:tcPr>
            <w:tcW w:type="dxa" w:w="2381"/>
          </w:tcPr>
          <w:p>
            <w:pPr>
              <w:spacing w:after="40"/>
            </w:pPr>
            <w:r/>
            <w:r>
              <w:rPr>
                <w:sz w:val="19"/>
              </w:rPr>
              <w:t>Less than 30 days</w:t>
            </w:r>
          </w:p>
        </w:tc>
        <w:tc>
          <w:tcPr>
            <w:tcW w:type="dxa" w:w="3969"/>
          </w:tcPr>
          <w:p>
            <w:pPr>
              <w:spacing w:after="40"/>
            </w:pPr>
            <w:r/>
            <w:r>
              <w:rPr>
                <w:sz w:val="19"/>
              </w:rPr>
              <w:t>Actual non-recoverable Vendor amounts + 100% of management fee</w:t>
            </w:r>
          </w:p>
        </w:tc>
        <w:tc>
          <w:tcPr>
            <w:tcW w:type="dxa" w:w="2835"/>
          </w:tcPr>
          <w:p>
            <w:pPr>
              <w:spacing w:after="40"/>
            </w:pPr>
            <w:r/>
            <w:r>
              <w:rPr>
                <w:sz w:val="19"/>
              </w:rPr>
              <w:t>Balance, if any</w:t>
            </w:r>
          </w:p>
        </w:tc>
      </w:tr>
      <w:tr>
        <w:tc>
          <w:tcPr>
            <w:tcW w:type="dxa" w:w="2381"/>
          </w:tcPr>
          <w:p>
            <w:pPr>
              <w:spacing w:after="40"/>
            </w:pPr>
            <w:r/>
            <w:r>
              <w:rPr>
                <w:sz w:val="19"/>
              </w:rPr>
              <w:t>Postponement (once, within 6 months)</w:t>
            </w:r>
          </w:p>
        </w:tc>
        <w:tc>
          <w:tcPr>
            <w:tcW w:type="dxa" w:w="3969"/>
          </w:tcPr>
          <w:p>
            <w:pPr>
              <w:spacing w:after="40"/>
            </w:pPr>
            <w:r/>
            <w:r>
              <w:rPr>
                <w:sz w:val="19"/>
              </w:rPr>
              <w:t>Actual non-recoverable Vendor amounts; fee carried to new date</w:t>
            </w:r>
          </w:p>
        </w:tc>
        <w:tc>
          <w:tcPr>
            <w:tcW w:type="dxa" w:w="2835"/>
          </w:tcPr>
          <w:p>
            <w:pPr>
              <w:spacing w:after="40"/>
            </w:pPr>
            <w:r/>
            <w:r>
              <w:rPr>
                <w:sz w:val="19"/>
              </w:rPr>
              <w:t>Nil, amounts credited to new date</w:t>
            </w:r>
          </w:p>
        </w:tc>
      </w:tr>
    </w:tbl>
    <w:p>
      <w:pPr>
        <w:spacing w:after="40"/>
      </w:pPr>
    </w:p>
    <w:p>
      <w:r>
        <w:rPr>
          <w:b w:val="0"/>
          <w:i/>
          <w:color w:val="556075"/>
          <w:sz w:val="19"/>
        </w:rPr>
        <w:t>Percentages above are a starting point taken from the guidance notes. Adjust them to your Vendors' own forfeiture terms.</w:t>
      </w:r>
    </w:p>
    <w:p>
      <w:pPr>
        <w:pStyle w:val="Heading1"/>
      </w:pPr>
      <w:r>
        <w:t>Signatures</w:t>
      </w:r>
    </w:p>
    <w:tbl>
      <w:tblPr>
        <w:tblStyle w:val="TableGrid"/>
        <w:tblW w:type="auto" w:w="0"/>
        <w:jc w:val="center"/>
        <w:tblLook w:firstColumn="1" w:firstRow="1" w:lastColumn="0" w:lastRow="0" w:noHBand="0" w:noVBand="1" w:val="04A0"/>
      </w:tblPr>
      <w:tblGrid>
        <w:gridCol w:w="4873"/>
        <w:gridCol w:w="4873"/>
      </w:tblGrid>
      <w:tr>
        <w:tc>
          <w:tcPr>
            <w:tcW w:type="dxa" w:w="4592"/>
            <w:shd w:val="clear" w:color="auto" w:fill="0B1B4B"/>
          </w:tcPr>
          <w:p>
            <w:pPr>
              <w:spacing w:after="40"/>
            </w:pPr>
            <w:r/>
            <w:r>
              <w:rPr>
                <w:b/>
                <w:color w:val="FFFFFF"/>
                <w:sz w:val="19"/>
              </w:rPr>
              <w:t>For the Planner</w:t>
            </w:r>
          </w:p>
        </w:tc>
        <w:tc>
          <w:tcPr>
            <w:tcW w:type="dxa" w:w="4592"/>
            <w:shd w:val="clear" w:color="auto" w:fill="0B1B4B"/>
          </w:tcPr>
          <w:p>
            <w:pPr>
              <w:spacing w:after="40"/>
            </w:pPr>
            <w:r/>
            <w:r>
              <w:rPr>
                <w:b/>
                <w:color w:val="FFFFFF"/>
                <w:sz w:val="19"/>
              </w:rPr>
              <w:t>For the Client</w:t>
            </w:r>
          </w:p>
        </w:tc>
      </w:tr>
      <w:tr>
        <w:tc>
          <w:tcPr>
            <w:tcW w:type="dxa" w:w="4592"/>
          </w:tcPr>
          <w:p>
            <w:pPr>
              <w:spacing w:after="40"/>
            </w:pPr>
            <w:r/>
            <w:r>
              <w:rPr>
                <w:sz w:val="19"/>
              </w:rPr>
              <w:t>Name: ______________________</w:t>
              <w:br/>
              <w:t>Designation: __________________</w:t>
              <w:br/>
              <w:t>Signature: ____________________</w:t>
              <w:br/>
              <w:t>Date: ____ / ____ / ________</w:t>
            </w:r>
          </w:p>
        </w:tc>
        <w:tc>
          <w:tcPr>
            <w:tcW w:type="dxa" w:w="4592"/>
          </w:tcPr>
          <w:p>
            <w:pPr>
              <w:spacing w:after="40"/>
            </w:pPr>
            <w:r/>
            <w:r>
              <w:rPr>
                <w:sz w:val="19"/>
              </w:rPr>
              <w:t>Name: ______________________</w:t>
              <w:br/>
              <w:t>Designation: __________________</w:t>
              <w:br/>
              <w:t>Signature: ____________________</w:t>
              <w:br/>
              <w:t>Date: ____ / ____ / ________</w:t>
            </w:r>
          </w:p>
        </w:tc>
      </w:tr>
      <w:tr>
        <w:tc>
          <w:tcPr>
            <w:tcW w:type="dxa" w:w="4592"/>
          </w:tcPr>
          <w:p>
            <w:pPr>
              <w:spacing w:after="40"/>
            </w:pPr>
            <w:r/>
            <w:r>
              <w:rPr>
                <w:sz w:val="19"/>
              </w:rPr>
              <w:t>Witness 1: ___________________  Address: ____________________</w:t>
            </w:r>
          </w:p>
        </w:tc>
        <w:tc>
          <w:tcPr>
            <w:tcW w:type="dxa" w:w="4592"/>
          </w:tcPr>
          <w:p>
            <w:pPr>
              <w:spacing w:after="40"/>
            </w:pPr>
            <w:r/>
            <w:r>
              <w:rPr>
                <w:sz w:val="19"/>
              </w:rPr>
              <w:t>Witness 2: ___________________  Address: ____________________</w:t>
            </w:r>
          </w:p>
        </w:tc>
      </w:tr>
    </w:tbl>
    <w:p>
      <w:pPr>
        <w:spacing w:after="40"/>
      </w:pPr>
    </w:p>
    <w:p>
      <w:pPr>
        <w:jc w:val="center"/>
      </w:pPr>
      <w:r>
        <w:rPr>
          <w:b w:val="0"/>
          <w:i/>
          <w:color w:val="556075"/>
          <w:sz w:val="17"/>
        </w:rPr>
        <w:t>Template published by Kaliquid (kaliquid.com). Not legal advice.</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075"/>
        <w:sz w:val="17"/>
      </w:rPr>
      <w:t xml:space="preserve">Event Management Services Agreement (template)  |  Page </w:t>
    </w:r>
    <w:r>
      <w:rPr>
        <w:color w:val="556075"/>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0B1B4B"/>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0B1B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Management Services Agreement (template)</dc:title>
  <dc:subject/>
  <dc:creator>Kaliquid</dc:creator>
  <cp:keywords/>
  <dc:description>generated by python-docx</dc:description>
  <cp:lastModifiedBy/>
  <cp:revision>1</cp:revision>
  <dcterms:created xsi:type="dcterms:W3CDTF">2013-12-23T23:15:00Z</dcterms:created>
  <dcterms:modified xsi:type="dcterms:W3CDTF">2013-12-23T23:15:00Z</dcterms:modified>
  <cp:category/>
</cp:coreProperties>
</file>