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1A3FF0"/>
          <w:sz w:val="18"/>
        </w:rPr>
        <w:t>EVENT PROPOSAL TEMPLATE</w:t>
      </w:r>
    </w:p>
    <w:p>
      <w:pPr>
        <w:spacing w:after="40"/>
      </w:pPr>
      <w:r>
        <w:rPr>
          <w:b/>
          <w:i w:val="0"/>
          <w:sz w:val="40"/>
        </w:rPr>
        <w:t>Annual Day &amp; Awards Night: 300 guests, Pune</w:t>
      </w:r>
    </w:p>
    <w:p>
      <w:pPr>
        <w:spacing w:after="160"/>
      </w:pPr>
      <w:r>
        <w:rPr>
          <w:b w:val="0"/>
          <w:i/>
          <w:color w:val="5B6479"/>
          <w:sz w:val="19"/>
        </w:rPr>
        <w:t>A fill-in Word template with finished sample wording. Grey notes explain what each section is for. Delete the grey notes and replace the sample wording with your own event before sending, and send the client a PDF, not this file.</w:t>
      </w:r>
    </w:p>
    <w:tbl>
      <w:tblPr>
        <w:tblStyle w:val="TableGrid"/>
        <w:tblW w:type="auto" w:w="0"/>
        <w:jc w:val="center"/>
        <w:tblLook w:firstColumn="1" w:firstRow="1" w:lastColumn="0" w:lastRow="0" w:noHBand="0" w:noVBand="1" w:val="04A0"/>
      </w:tblPr>
      <w:tblGrid>
        <w:gridCol w:w="4819"/>
        <w:gridCol w:w="4819"/>
      </w:tblGrid>
      <w:tr>
        <w:tc>
          <w:tcPr>
            <w:tcW w:type="dxa" w:w="2608"/>
          </w:tcPr>
          <w:p>
            <w:pPr>
              <w:spacing w:after="20"/>
            </w:pPr>
            <w:r/>
            <w:r>
              <w:rPr>
                <w:sz w:val="19"/>
              </w:rPr>
              <w:t>Prepared for</w:t>
            </w:r>
          </w:p>
        </w:tc>
        <w:tc>
          <w:tcPr>
            <w:tcW w:type="dxa" w:w="7030"/>
          </w:tcPr>
          <w:p>
            <w:pPr>
              <w:spacing w:after="20"/>
            </w:pPr>
            <w:r/>
            <w:r>
              <w:rPr>
                <w:sz w:val="19"/>
              </w:rPr>
              <w:t>[Client company], attention: [Name, designation]</w:t>
            </w:r>
          </w:p>
        </w:tc>
      </w:tr>
      <w:tr>
        <w:tc>
          <w:tcPr>
            <w:tcW w:type="dxa" w:w="2608"/>
          </w:tcPr>
          <w:p>
            <w:pPr>
              <w:spacing w:after="20"/>
            </w:pPr>
            <w:r/>
            <w:r>
              <w:rPr>
                <w:sz w:val="19"/>
              </w:rPr>
              <w:t>Prepared by</w:t>
            </w:r>
          </w:p>
        </w:tc>
        <w:tc>
          <w:tcPr>
            <w:tcW w:type="dxa" w:w="7030"/>
          </w:tcPr>
          <w:p>
            <w:pPr>
              <w:spacing w:after="20"/>
            </w:pPr>
            <w:r/>
            <w:r>
              <w:rPr>
                <w:sz w:val="19"/>
              </w:rPr>
              <w:t>[Your agency], GSTIN [15-digit GSTIN]</w:t>
            </w:r>
          </w:p>
        </w:tc>
      </w:tr>
      <w:tr>
        <w:tc>
          <w:tcPr>
            <w:tcW w:type="dxa" w:w="2608"/>
          </w:tcPr>
          <w:p>
            <w:pPr>
              <w:spacing w:after="20"/>
            </w:pPr>
            <w:r/>
            <w:r>
              <w:rPr>
                <w:sz w:val="19"/>
              </w:rPr>
              <w:t>Event</w:t>
            </w:r>
          </w:p>
        </w:tc>
        <w:tc>
          <w:tcPr>
            <w:tcW w:type="dxa" w:w="7030"/>
          </w:tcPr>
          <w:p>
            <w:pPr>
              <w:spacing w:after="20"/>
            </w:pPr>
            <w:r/>
            <w:r>
              <w:rPr>
                <w:sz w:val="19"/>
              </w:rPr>
              <w:t>Annual Day &amp; Awards Night, Saturday 21 November 2026, 6:30 pm to 11:00 pm</w:t>
            </w:r>
          </w:p>
        </w:tc>
      </w:tr>
      <w:tr>
        <w:tc>
          <w:tcPr>
            <w:tcW w:type="dxa" w:w="2608"/>
          </w:tcPr>
          <w:p>
            <w:pPr>
              <w:spacing w:after="20"/>
            </w:pPr>
            <w:r/>
            <w:r>
              <w:rPr>
                <w:sz w:val="19"/>
              </w:rPr>
              <w:t>Venue</w:t>
            </w:r>
          </w:p>
        </w:tc>
        <w:tc>
          <w:tcPr>
            <w:tcW w:type="dxa" w:w="7030"/>
          </w:tcPr>
          <w:p>
            <w:pPr>
              <w:spacing w:after="20"/>
            </w:pPr>
            <w:r/>
            <w:r>
              <w:rPr>
                <w:sz w:val="19"/>
              </w:rPr>
              <w:t>[Banquet hall name], Pune (seated for 300, one main hall plus foyer)</w:t>
            </w:r>
          </w:p>
        </w:tc>
      </w:tr>
      <w:tr>
        <w:tc>
          <w:tcPr>
            <w:tcW w:type="dxa" w:w="2608"/>
          </w:tcPr>
          <w:p>
            <w:pPr>
              <w:spacing w:after="20"/>
            </w:pPr>
            <w:r/>
            <w:r>
              <w:rPr>
                <w:sz w:val="19"/>
              </w:rPr>
              <w:t>Guests</w:t>
            </w:r>
          </w:p>
        </w:tc>
        <w:tc>
          <w:tcPr>
            <w:tcW w:type="dxa" w:w="7030"/>
          </w:tcPr>
          <w:p>
            <w:pPr>
              <w:spacing w:after="20"/>
            </w:pPr>
            <w:r/>
            <w:r>
              <w:rPr>
                <w:sz w:val="19"/>
              </w:rPr>
              <w:t>300 confirmed (final count due 7 days before the event)</w:t>
            </w:r>
          </w:p>
        </w:tc>
      </w:tr>
      <w:tr>
        <w:tc>
          <w:tcPr>
            <w:tcW w:type="dxa" w:w="2608"/>
          </w:tcPr>
          <w:p>
            <w:pPr>
              <w:spacing w:after="20"/>
            </w:pPr>
            <w:r/>
            <w:r>
              <w:rPr>
                <w:sz w:val="19"/>
              </w:rPr>
              <w:t>Recommended total</w:t>
            </w:r>
          </w:p>
        </w:tc>
        <w:tc>
          <w:tcPr>
            <w:tcW w:type="dxa" w:w="7030"/>
          </w:tcPr>
          <w:p>
            <w:pPr>
              <w:spacing w:after="20"/>
            </w:pPr>
            <w:r/>
            <w:r>
              <w:rPr>
                <w:sz w:val="19"/>
              </w:rPr>
              <w:t>₹13,45,500 + 18% GST = ₹15,87,690</w:t>
            </w:r>
          </w:p>
        </w:tc>
      </w:tr>
      <w:tr>
        <w:tc>
          <w:tcPr>
            <w:tcW w:type="dxa" w:w="2608"/>
          </w:tcPr>
          <w:p>
            <w:pPr>
              <w:spacing w:after="20"/>
            </w:pPr>
            <w:r/>
            <w:r>
              <w:rPr>
                <w:sz w:val="19"/>
              </w:rPr>
              <w:t>Proposal date / valid until</w:t>
            </w:r>
          </w:p>
        </w:tc>
        <w:tc>
          <w:tcPr>
            <w:tcW w:type="dxa" w:w="7030"/>
          </w:tcPr>
          <w:p>
            <w:pPr>
              <w:spacing w:after="20"/>
            </w:pPr>
            <w:r/>
            <w:r>
              <w:rPr>
                <w:sz w:val="19"/>
              </w:rPr>
              <w:t>28 September 2026 / 12 October 2026 (14 days)</w:t>
            </w:r>
          </w:p>
        </w:tc>
      </w:tr>
    </w:tbl>
    <w:p>
      <w:pPr>
        <w:spacing w:after="40"/>
      </w:pPr>
    </w:p>
    <w:p>
      <w:pPr>
        <w:pStyle w:val="Heading1"/>
      </w:pPr>
      <w:r>
        <w:t>1. Executive summary</w:t>
      </w:r>
    </w:p>
    <w:p>
      <w:pPr>
        <w:spacing w:after="80"/>
      </w:pPr>
      <w:r>
        <w:rPr>
          <w:b/>
          <w:i/>
          <w:color w:val="5B6479"/>
          <w:sz w:val="19"/>
        </w:rPr>
        <w:t xml:space="preserve">What to write here: </w:t>
      </w:r>
      <w:r>
        <w:rPr>
          <w:i/>
          <w:color w:val="5B6479"/>
          <w:sz w:val="19"/>
        </w:rPr>
        <w:t>Ninety to one hundred and twenty words that let a finance approver decide without reading anything else: what the event is, when, how many people, what success looks like and the total. Write it last.</w:t>
      </w:r>
    </w:p>
    <w:p>
      <w:pPr>
        <w:ind w:left="227"/>
      </w:pPr>
      <w:r>
        <w:rPr>
          <w:b/>
          <w:sz w:val="20"/>
        </w:rPr>
        <w:t xml:space="preserve">Sample wording: </w:t>
      </w:r>
      <w:r>
        <w:t>We propose to design and run your Annual Day &amp; Awards Night for 300 employees on Saturday 21 November 2026 at [venue], Pune. The evening covers registration, a 90-minute awards programme, live music and a cocktail dinner served by 10:15 pm. Our recommended package is ₹13,45,500 before GST (₹15,87,690 including 18% GST), payable in three instalments. Two other options are in section 8. This proposal is valid until 12 October 2026; the venue date is on a written hold until then.</w:t>
      </w:r>
    </w:p>
    <w:p>
      <w:pPr>
        <w:pStyle w:val="Heading1"/>
      </w:pPr>
      <w:r>
        <w:t>2. Objectives</w:t>
      </w:r>
    </w:p>
    <w:p>
      <w:pPr>
        <w:spacing w:after="80"/>
      </w:pPr>
      <w:r>
        <w:rPr>
          <w:b/>
          <w:i/>
          <w:color w:val="5B6479"/>
          <w:sz w:val="19"/>
        </w:rPr>
        <w:t xml:space="preserve">What to write here: </w:t>
      </w:r>
      <w:r>
        <w:rPr>
          <w:i/>
          <w:color w:val="5B6479"/>
          <w:sz w:val="19"/>
        </w:rPr>
        <w:t>Three objectives that can be checked on the night. Numbers and clock times, not adjectives. A client who can tick objectives after the event is a client who rebooks.</w:t>
      </w:r>
    </w:p>
    <w:p>
      <w:pPr>
        <w:pStyle w:val="ListNumber"/>
        <w:spacing w:after="40"/>
        <w:ind w:left="510"/>
      </w:pPr>
      <w:r>
        <w:t>All 300 guests seated for the awards segment by 7:15 pm, with registration queues under 5 minutes.</w:t>
      </w:r>
    </w:p>
    <w:p>
      <w:pPr>
        <w:pStyle w:val="ListNumber"/>
        <w:spacing w:after="40"/>
        <w:ind w:left="510"/>
      </w:pPr>
      <w:r>
        <w:t>Awards programme (14 awards, 3 short videos) completed within 90 minutes, ending by 8:45 pm.</w:t>
      </w:r>
    </w:p>
    <w:p>
      <w:pPr>
        <w:pStyle w:val="ListNumber"/>
        <w:spacing w:after="40"/>
        <w:ind w:left="510"/>
      </w:pPr>
      <w:r>
        <w:t>Dinner service opened at 8:45 pm and completed by 10:15 pm with no counter queue longer than 10 minutes.</w:t>
      </w:r>
    </w:p>
    <w:p>
      <w:pPr>
        <w:pStyle w:val="Heading1"/>
      </w:pPr>
      <w:r>
        <w:t>3. Concept and look</w:t>
      </w:r>
    </w:p>
    <w:p>
      <w:pPr>
        <w:spacing w:after="80"/>
      </w:pPr>
      <w:r>
        <w:rPr>
          <w:b/>
          <w:i/>
          <w:color w:val="5B6479"/>
          <w:sz w:val="19"/>
        </w:rPr>
        <w:t xml:space="preserve">What to write here: </w:t>
      </w:r>
      <w:r>
        <w:rPr>
          <w:i/>
          <w:color w:val="5B6479"/>
          <w:sz w:val="19"/>
        </w:rPr>
        <w:t>One paragraph and one reference image. Say what the guest will see and feel in the first ten minutes. Keep mood boards out of the body; attach them as an annexure if the client asks.</w:t>
      </w:r>
    </w:p>
    <w:p>
      <w:pPr>
        <w:ind w:left="227"/>
      </w:pPr>
      <w:r>
        <w:rPr>
          <w:b/>
          <w:sz w:val="20"/>
        </w:rPr>
        <w:t xml:space="preserve">Sample wording: </w:t>
      </w:r>
      <w:r>
        <w:t>Guests enter through a branded arch into a lit foyer where name badges and seating cards are issued from six registration desks. The main hall is set cabaret-style (30 tables of 10) around a 24 x 16 ft stage with a 16 x 9 ft LED wall. The colour palette follows the client brand: deep blue with warm white light, so photographs match the annual report.</w:t>
      </w:r>
    </w:p>
    <w:p>
      <w:pPr>
        <w:pStyle w:val="Heading1"/>
      </w:pPr>
      <w:r>
        <w:t>4. Scope of services</w:t>
      </w:r>
    </w:p>
    <w:p>
      <w:pPr>
        <w:spacing w:after="80"/>
      </w:pPr>
      <w:r>
        <w:rPr>
          <w:b/>
          <w:i/>
          <w:color w:val="5B6479"/>
          <w:sz w:val="19"/>
        </w:rPr>
        <w:t xml:space="preserve">What to write here: </w:t>
      </w:r>
      <w:r>
        <w:rPr>
          <w:i/>
          <w:color w:val="5B6479"/>
          <w:sz w:val="19"/>
        </w:rPr>
        <w:t>List what is included and, in a separate list, what is not. Most disputes after an event come from the second list being empty.</w:t>
      </w:r>
    </w:p>
    <w:p>
      <w:pPr>
        <w:pStyle w:val="Heading2"/>
      </w:pPr>
      <w:r>
        <w:t>Included</w:t>
      </w:r>
    </w:p>
    <w:p>
      <w:pPr>
        <w:pStyle w:val="ListBullet"/>
        <w:spacing w:after="40"/>
        <w:ind w:left="510"/>
      </w:pPr>
      <w:r>
        <w:t>Venue hire for 7:00 pm to midnight, with setup access from 12:00 noon.</w:t>
      </w:r>
    </w:p>
    <w:p>
      <w:pPr>
        <w:pStyle w:val="ListBullet"/>
        <w:spacing w:after="40"/>
        <w:ind w:left="510"/>
      </w:pPr>
      <w:r>
        <w:t>Cocktail dinner for 300 guests at 4 live starters, 4 mains and desserts, served by the venue-approved caterer.</w:t>
      </w:r>
    </w:p>
    <w:p>
      <w:pPr>
        <w:pStyle w:val="ListBullet"/>
        <w:spacing w:after="40"/>
        <w:ind w:left="510"/>
      </w:pPr>
      <w:r>
        <w:t>24 x 16 ft stage, 16 x 9 ft LED wall, line-array sound, moving-head lighting and one operator team.</w:t>
      </w:r>
    </w:p>
    <w:p>
      <w:pPr>
        <w:pStyle w:val="ListBullet"/>
        <w:spacing w:after="40"/>
        <w:ind w:left="510"/>
      </w:pPr>
      <w:r>
        <w:t>Anchor and a 4-piece live band for 60 minutes.</w:t>
      </w:r>
    </w:p>
    <w:p>
      <w:pPr>
        <w:pStyle w:val="ListBullet"/>
        <w:spacing w:after="40"/>
        <w:ind w:left="510"/>
      </w:pPr>
      <w:r>
        <w:t>Entry arch, stage backdrop, 30 table centrepieces and registration desk branding.</w:t>
      </w:r>
    </w:p>
    <w:p>
      <w:pPr>
        <w:pStyle w:val="ListBullet"/>
        <w:spacing w:after="40"/>
        <w:ind w:left="510"/>
      </w:pPr>
      <w:r>
        <w:t>One photographer and one videographer, edited highlights in 10 working days.</w:t>
      </w:r>
    </w:p>
    <w:p>
      <w:pPr>
        <w:pStyle w:val="ListBullet"/>
        <w:spacing w:after="40"/>
        <w:ind w:left="510"/>
      </w:pPr>
      <w:r>
        <w:t>12-person on-ground crew for registration, guest movement and vendor coordination.</w:t>
      </w:r>
    </w:p>
    <w:p>
      <w:pPr>
        <w:pStyle w:val="Heading2"/>
      </w:pPr>
      <w:r>
        <w:t>Not included (quoted separately if required)</w:t>
      </w:r>
    </w:p>
    <w:p>
      <w:pPr>
        <w:pStyle w:val="ListBullet"/>
        <w:spacing w:after="40"/>
        <w:ind w:left="510"/>
      </w:pPr>
      <w:r>
        <w:t>Any guest count above 300 (charged at the per-plate rate in section 8).</w:t>
      </w:r>
    </w:p>
    <w:p>
      <w:pPr>
        <w:pStyle w:val="ListBullet"/>
        <w:spacing w:after="40"/>
        <w:ind w:left="510"/>
      </w:pPr>
      <w:r>
        <w:t>Liquor and bar service, and the excise permission it needs.</w:t>
      </w:r>
    </w:p>
    <w:p>
      <w:pPr>
        <w:pStyle w:val="ListBullet"/>
        <w:spacing w:after="40"/>
        <w:ind w:left="510"/>
      </w:pPr>
      <w:r>
        <w:t>Guest travel, accommodation and gifting.</w:t>
      </w:r>
    </w:p>
    <w:p>
      <w:pPr>
        <w:pStyle w:val="ListBullet"/>
        <w:spacing w:after="40"/>
        <w:ind w:left="510"/>
      </w:pPr>
      <w:r>
        <w:t>Overtime beyond midnight (charged per hour, see terms).</w:t>
      </w:r>
    </w:p>
    <w:p>
      <w:pPr>
        <w:pStyle w:val="ListBullet"/>
        <w:spacing w:after="40"/>
        <w:ind w:left="510"/>
      </w:pPr>
      <w:r>
        <w:t>Music licence fees payable by the venue or client, if applicable.</w:t>
      </w:r>
    </w:p>
    <w:p>
      <w:pPr>
        <w:pStyle w:val="Heading1"/>
      </w:pPr>
      <w:r>
        <w:t>5. Run of show</w:t>
      </w:r>
    </w:p>
    <w:p>
      <w:pPr>
        <w:spacing w:after="80"/>
      </w:pPr>
      <w:r>
        <w:rPr>
          <w:b/>
          <w:i/>
          <w:color w:val="5B6479"/>
          <w:sz w:val="19"/>
        </w:rPr>
        <w:t xml:space="preserve">What to write here: </w:t>
      </w:r>
      <w:r>
        <w:rPr>
          <w:i/>
          <w:color w:val="5B6479"/>
          <w:sz w:val="19"/>
        </w:rPr>
        <w:t>Clock times for the client side and the vendor side. The client checks the guest-facing rows; your crew works from the setup rows.</w:t>
      </w:r>
    </w:p>
    <w:tbl>
      <w:tblPr>
        <w:tblStyle w:val="TableGrid"/>
        <w:tblW w:type="auto" w:w="0"/>
        <w:jc w:val="center"/>
        <w:tblLook w:firstColumn="1" w:firstRow="1" w:lastColumn="0" w:lastRow="0" w:noHBand="0" w:noVBand="1" w:val="04A0"/>
      </w:tblPr>
      <w:tblGrid>
        <w:gridCol w:w="3213"/>
        <w:gridCol w:w="3213"/>
        <w:gridCol w:w="3213"/>
      </w:tblGrid>
      <w:tr>
        <w:tc>
          <w:tcPr>
            <w:tcW w:type="dxa" w:w="1474"/>
            <w:shd w:val="clear" w:color="auto" w:fill="1A3FF0"/>
          </w:tcPr>
          <w:p>
            <w:pPr>
              <w:spacing w:after="20"/>
            </w:pPr>
            <w:r/>
            <w:r>
              <w:rPr>
                <w:b/>
                <w:color w:val="FFFFFF"/>
                <w:sz w:val="19"/>
              </w:rPr>
              <w:t>Time</w:t>
            </w:r>
          </w:p>
        </w:tc>
        <w:tc>
          <w:tcPr>
            <w:tcW w:type="dxa" w:w="5896"/>
            <w:shd w:val="clear" w:color="auto" w:fill="1A3FF0"/>
          </w:tcPr>
          <w:p>
            <w:pPr>
              <w:spacing w:after="20"/>
            </w:pPr>
            <w:r/>
            <w:r>
              <w:rPr>
                <w:b/>
                <w:color w:val="FFFFFF"/>
                <w:sz w:val="19"/>
              </w:rPr>
              <w:t>What happens</w:t>
            </w:r>
          </w:p>
        </w:tc>
        <w:tc>
          <w:tcPr>
            <w:tcW w:type="dxa" w:w="2268"/>
            <w:shd w:val="clear" w:color="auto" w:fill="1A3FF0"/>
          </w:tcPr>
          <w:p>
            <w:pPr>
              <w:spacing w:after="20"/>
            </w:pPr>
            <w:r/>
            <w:r>
              <w:rPr>
                <w:b/>
                <w:color w:val="FFFFFF"/>
                <w:sz w:val="19"/>
              </w:rPr>
              <w:t>Who leads</w:t>
            </w:r>
          </w:p>
        </w:tc>
      </w:tr>
      <w:tr>
        <w:tc>
          <w:tcPr>
            <w:tcW w:type="dxa" w:w="1474"/>
          </w:tcPr>
          <w:p>
            <w:pPr>
              <w:spacing w:after="20"/>
            </w:pPr>
            <w:r/>
            <w:r>
              <w:rPr>
                <w:sz w:val="19"/>
              </w:rPr>
              <w:t>12:00 pm</w:t>
            </w:r>
          </w:p>
        </w:tc>
        <w:tc>
          <w:tcPr>
            <w:tcW w:type="dxa" w:w="5896"/>
          </w:tcPr>
          <w:p>
            <w:pPr>
              <w:spacing w:after="20"/>
            </w:pPr>
            <w:r/>
            <w:r>
              <w:rPr>
                <w:sz w:val="19"/>
              </w:rPr>
              <w:t>Venue handover, stage and truss setup begins</w:t>
            </w:r>
          </w:p>
        </w:tc>
        <w:tc>
          <w:tcPr>
            <w:tcW w:type="dxa" w:w="2268"/>
          </w:tcPr>
          <w:p>
            <w:pPr>
              <w:spacing w:after="20"/>
            </w:pPr>
            <w:r/>
            <w:r>
              <w:rPr>
                <w:sz w:val="19"/>
              </w:rPr>
              <w:t>Production lead</w:t>
            </w:r>
          </w:p>
        </w:tc>
      </w:tr>
      <w:tr>
        <w:tc>
          <w:tcPr>
            <w:tcW w:type="dxa" w:w="1474"/>
          </w:tcPr>
          <w:p>
            <w:pPr>
              <w:spacing w:after="20"/>
            </w:pPr>
            <w:r/>
            <w:r>
              <w:rPr>
                <w:sz w:val="19"/>
              </w:rPr>
              <w:t>4:30 pm</w:t>
            </w:r>
          </w:p>
        </w:tc>
        <w:tc>
          <w:tcPr>
            <w:tcW w:type="dxa" w:w="5896"/>
          </w:tcPr>
          <w:p>
            <w:pPr>
              <w:spacing w:after="20"/>
            </w:pPr>
            <w:r/>
            <w:r>
              <w:rPr>
                <w:sz w:val="19"/>
              </w:rPr>
              <w:t>Sound check, LED wall content test, lighting cues</w:t>
            </w:r>
          </w:p>
        </w:tc>
        <w:tc>
          <w:tcPr>
            <w:tcW w:type="dxa" w:w="2268"/>
          </w:tcPr>
          <w:p>
            <w:pPr>
              <w:spacing w:after="20"/>
            </w:pPr>
            <w:r/>
            <w:r>
              <w:rPr>
                <w:sz w:val="19"/>
              </w:rPr>
              <w:t>Production lead</w:t>
            </w:r>
          </w:p>
        </w:tc>
      </w:tr>
      <w:tr>
        <w:tc>
          <w:tcPr>
            <w:tcW w:type="dxa" w:w="1474"/>
          </w:tcPr>
          <w:p>
            <w:pPr>
              <w:spacing w:after="20"/>
            </w:pPr>
            <w:r/>
            <w:r>
              <w:rPr>
                <w:sz w:val="19"/>
              </w:rPr>
              <w:t>5:30 pm</w:t>
            </w:r>
          </w:p>
        </w:tc>
        <w:tc>
          <w:tcPr>
            <w:tcW w:type="dxa" w:w="5896"/>
          </w:tcPr>
          <w:p>
            <w:pPr>
              <w:spacing w:after="20"/>
            </w:pPr>
            <w:r/>
            <w:r>
              <w:rPr>
                <w:sz w:val="19"/>
              </w:rPr>
              <w:t>Registration desks staffed, decor final walk-through</w:t>
            </w:r>
          </w:p>
        </w:tc>
        <w:tc>
          <w:tcPr>
            <w:tcW w:type="dxa" w:w="2268"/>
          </w:tcPr>
          <w:p>
            <w:pPr>
              <w:spacing w:after="20"/>
            </w:pPr>
            <w:r/>
            <w:r>
              <w:rPr>
                <w:sz w:val="19"/>
              </w:rPr>
              <w:t>Event manager</w:t>
            </w:r>
          </w:p>
        </w:tc>
      </w:tr>
      <w:tr>
        <w:tc>
          <w:tcPr>
            <w:tcW w:type="dxa" w:w="1474"/>
          </w:tcPr>
          <w:p>
            <w:pPr>
              <w:spacing w:after="20"/>
            </w:pPr>
            <w:r/>
            <w:r>
              <w:rPr>
                <w:sz w:val="19"/>
              </w:rPr>
              <w:t>6:30 pm</w:t>
            </w:r>
          </w:p>
        </w:tc>
        <w:tc>
          <w:tcPr>
            <w:tcW w:type="dxa" w:w="5896"/>
          </w:tcPr>
          <w:p>
            <w:pPr>
              <w:spacing w:after="20"/>
            </w:pPr>
            <w:r/>
            <w:r>
              <w:rPr>
                <w:sz w:val="19"/>
              </w:rPr>
              <w:t>Doors open, welcome drinks, registration</w:t>
            </w:r>
          </w:p>
        </w:tc>
        <w:tc>
          <w:tcPr>
            <w:tcW w:type="dxa" w:w="2268"/>
          </w:tcPr>
          <w:p>
            <w:pPr>
              <w:spacing w:after="20"/>
            </w:pPr>
            <w:r/>
            <w:r>
              <w:rPr>
                <w:sz w:val="19"/>
              </w:rPr>
              <w:t>Crew of 12</w:t>
            </w:r>
          </w:p>
        </w:tc>
      </w:tr>
      <w:tr>
        <w:tc>
          <w:tcPr>
            <w:tcW w:type="dxa" w:w="1474"/>
          </w:tcPr>
          <w:p>
            <w:pPr>
              <w:spacing w:after="20"/>
            </w:pPr>
            <w:r/>
            <w:r>
              <w:rPr>
                <w:sz w:val="19"/>
              </w:rPr>
              <w:t>7:15 pm</w:t>
            </w:r>
          </w:p>
        </w:tc>
        <w:tc>
          <w:tcPr>
            <w:tcW w:type="dxa" w:w="5896"/>
          </w:tcPr>
          <w:p>
            <w:pPr>
              <w:spacing w:after="20"/>
            </w:pPr>
            <w:r/>
            <w:r>
              <w:rPr>
                <w:sz w:val="19"/>
              </w:rPr>
              <w:t>Awards programme starts (90 minutes)</w:t>
            </w:r>
          </w:p>
        </w:tc>
        <w:tc>
          <w:tcPr>
            <w:tcW w:type="dxa" w:w="2268"/>
          </w:tcPr>
          <w:p>
            <w:pPr>
              <w:spacing w:after="20"/>
            </w:pPr>
            <w:r/>
            <w:r>
              <w:rPr>
                <w:sz w:val="19"/>
              </w:rPr>
              <w:t>Anchor</w:t>
            </w:r>
          </w:p>
        </w:tc>
      </w:tr>
      <w:tr>
        <w:tc>
          <w:tcPr>
            <w:tcW w:type="dxa" w:w="1474"/>
          </w:tcPr>
          <w:p>
            <w:pPr>
              <w:spacing w:after="20"/>
            </w:pPr>
            <w:r/>
            <w:r>
              <w:rPr>
                <w:sz w:val="19"/>
              </w:rPr>
              <w:t>8:45 pm</w:t>
            </w:r>
          </w:p>
        </w:tc>
        <w:tc>
          <w:tcPr>
            <w:tcW w:type="dxa" w:w="5896"/>
          </w:tcPr>
          <w:p>
            <w:pPr>
              <w:spacing w:after="20"/>
            </w:pPr>
            <w:r/>
            <w:r>
              <w:rPr>
                <w:sz w:val="19"/>
              </w:rPr>
              <w:t>Live band set and dinner service opens</w:t>
            </w:r>
          </w:p>
        </w:tc>
        <w:tc>
          <w:tcPr>
            <w:tcW w:type="dxa" w:w="2268"/>
          </w:tcPr>
          <w:p>
            <w:pPr>
              <w:spacing w:after="20"/>
            </w:pPr>
            <w:r/>
            <w:r>
              <w:rPr>
                <w:sz w:val="19"/>
              </w:rPr>
              <w:t>Event manager / caterer</w:t>
            </w:r>
          </w:p>
        </w:tc>
      </w:tr>
      <w:tr>
        <w:tc>
          <w:tcPr>
            <w:tcW w:type="dxa" w:w="1474"/>
          </w:tcPr>
          <w:p>
            <w:pPr>
              <w:spacing w:after="20"/>
            </w:pPr>
            <w:r/>
            <w:r>
              <w:rPr>
                <w:sz w:val="19"/>
              </w:rPr>
              <w:t>10:15 pm</w:t>
            </w:r>
          </w:p>
        </w:tc>
        <w:tc>
          <w:tcPr>
            <w:tcW w:type="dxa" w:w="5896"/>
          </w:tcPr>
          <w:p>
            <w:pPr>
              <w:spacing w:after="20"/>
            </w:pPr>
            <w:r/>
            <w:r>
              <w:rPr>
                <w:sz w:val="19"/>
              </w:rPr>
              <w:t>Dinner service closes, desserts continue</w:t>
            </w:r>
          </w:p>
        </w:tc>
        <w:tc>
          <w:tcPr>
            <w:tcW w:type="dxa" w:w="2268"/>
          </w:tcPr>
          <w:p>
            <w:pPr>
              <w:spacing w:after="20"/>
            </w:pPr>
            <w:r/>
            <w:r>
              <w:rPr>
                <w:sz w:val="19"/>
              </w:rPr>
              <w:t>Caterer</w:t>
            </w:r>
          </w:p>
        </w:tc>
      </w:tr>
      <w:tr>
        <w:tc>
          <w:tcPr>
            <w:tcW w:type="dxa" w:w="1474"/>
          </w:tcPr>
          <w:p>
            <w:pPr>
              <w:spacing w:after="20"/>
            </w:pPr>
            <w:r/>
            <w:r>
              <w:rPr>
                <w:sz w:val="19"/>
              </w:rPr>
              <w:t>11:00 pm</w:t>
            </w:r>
          </w:p>
        </w:tc>
        <w:tc>
          <w:tcPr>
            <w:tcW w:type="dxa" w:w="5896"/>
          </w:tcPr>
          <w:p>
            <w:pPr>
              <w:spacing w:after="20"/>
            </w:pPr>
            <w:r/>
            <w:r>
              <w:rPr>
                <w:sz w:val="19"/>
              </w:rPr>
              <w:t>Programme ends, guests depart</w:t>
            </w:r>
          </w:p>
        </w:tc>
        <w:tc>
          <w:tcPr>
            <w:tcW w:type="dxa" w:w="2268"/>
          </w:tcPr>
          <w:p>
            <w:pPr>
              <w:spacing w:after="20"/>
            </w:pPr>
            <w:r/>
            <w:r>
              <w:rPr>
                <w:sz w:val="19"/>
              </w:rPr>
              <w:t>Event manager</w:t>
            </w:r>
          </w:p>
        </w:tc>
      </w:tr>
      <w:tr>
        <w:tc>
          <w:tcPr>
            <w:tcW w:type="dxa" w:w="1474"/>
          </w:tcPr>
          <w:p>
            <w:pPr>
              <w:spacing w:after="20"/>
            </w:pPr>
            <w:r/>
            <w:r>
              <w:rPr>
                <w:sz w:val="19"/>
              </w:rPr>
              <w:t>11:00 pm to 1:00 am</w:t>
            </w:r>
          </w:p>
        </w:tc>
        <w:tc>
          <w:tcPr>
            <w:tcW w:type="dxa" w:w="5896"/>
          </w:tcPr>
          <w:p>
            <w:pPr>
              <w:spacing w:after="20"/>
            </w:pPr>
            <w:r/>
            <w:r>
              <w:rPr>
                <w:sz w:val="19"/>
              </w:rPr>
              <w:t>Load-out and venue handback</w:t>
            </w:r>
          </w:p>
        </w:tc>
        <w:tc>
          <w:tcPr>
            <w:tcW w:type="dxa" w:w="2268"/>
          </w:tcPr>
          <w:p>
            <w:pPr>
              <w:spacing w:after="20"/>
            </w:pPr>
            <w:r/>
            <w:r>
              <w:rPr>
                <w:sz w:val="19"/>
              </w:rPr>
              <w:t>Production lead</w:t>
            </w:r>
          </w:p>
        </w:tc>
      </w:tr>
    </w:tbl>
    <w:p>
      <w:pPr>
        <w:spacing w:after="40"/>
      </w:pPr>
    </w:p>
    <w:p>
      <w:pPr>
        <w:pStyle w:val="Heading1"/>
      </w:pPr>
      <w:r>
        <w:t>6. Team and vendors</w:t>
      </w:r>
    </w:p>
    <w:p>
      <w:pPr>
        <w:spacing w:after="80"/>
      </w:pPr>
      <w:r>
        <w:rPr>
          <w:b/>
          <w:i/>
          <w:color w:val="5B6479"/>
          <w:sz w:val="19"/>
        </w:rPr>
        <w:t xml:space="preserve">What to write here: </w:t>
      </w:r>
      <w:r>
        <w:rPr>
          <w:i/>
          <w:color w:val="5B6479"/>
          <w:sz w:val="19"/>
        </w:rPr>
        <w:t>Name the people who will actually be on site and what each owns. Corporate clients ask for a single mobile number per function; give them one.</w:t>
      </w:r>
    </w:p>
    <w:tbl>
      <w:tblPr>
        <w:tblStyle w:val="TableGrid"/>
        <w:tblW w:type="auto" w:w="0"/>
        <w:jc w:val="center"/>
        <w:tblLook w:firstColumn="1" w:firstRow="1" w:lastColumn="0" w:lastRow="0" w:noHBand="0" w:noVBand="1" w:val="04A0"/>
      </w:tblPr>
      <w:tblGrid>
        <w:gridCol w:w="3213"/>
        <w:gridCol w:w="3213"/>
        <w:gridCol w:w="3213"/>
      </w:tblGrid>
      <w:tr>
        <w:tc>
          <w:tcPr>
            <w:tcW w:type="dxa" w:w="3402"/>
            <w:shd w:val="clear" w:color="auto" w:fill="1A3FF0"/>
          </w:tcPr>
          <w:p>
            <w:pPr>
              <w:spacing w:after="20"/>
            </w:pPr>
            <w:r/>
            <w:r>
              <w:rPr>
                <w:b/>
                <w:color w:val="FFFFFF"/>
                <w:sz w:val="19"/>
              </w:rPr>
              <w:t>Function</w:t>
            </w:r>
          </w:p>
        </w:tc>
        <w:tc>
          <w:tcPr>
            <w:tcW w:type="dxa" w:w="3685"/>
            <w:shd w:val="clear" w:color="auto" w:fill="1A3FF0"/>
          </w:tcPr>
          <w:p>
            <w:pPr>
              <w:spacing w:after="20"/>
            </w:pPr>
            <w:r/>
            <w:r>
              <w:rPr>
                <w:b/>
                <w:color w:val="FFFFFF"/>
                <w:sz w:val="19"/>
              </w:rPr>
              <w:t>Owner</w:t>
            </w:r>
          </w:p>
        </w:tc>
        <w:tc>
          <w:tcPr>
            <w:tcW w:type="dxa" w:w="2551"/>
            <w:shd w:val="clear" w:color="auto" w:fill="1A3FF0"/>
          </w:tcPr>
          <w:p>
            <w:pPr>
              <w:spacing w:after="20"/>
            </w:pPr>
            <w:r/>
            <w:r>
              <w:rPr>
                <w:b/>
                <w:color w:val="FFFFFF"/>
                <w:sz w:val="19"/>
              </w:rPr>
              <w:t>Mobile</w:t>
            </w:r>
          </w:p>
        </w:tc>
      </w:tr>
      <w:tr>
        <w:tc>
          <w:tcPr>
            <w:tcW w:type="dxa" w:w="3402"/>
          </w:tcPr>
          <w:p>
            <w:pPr>
              <w:spacing w:after="20"/>
            </w:pPr>
            <w:r/>
            <w:r>
              <w:rPr>
                <w:sz w:val="19"/>
              </w:rPr>
              <w:t>Overall event manager</w:t>
            </w:r>
          </w:p>
        </w:tc>
        <w:tc>
          <w:tcPr>
            <w:tcW w:type="dxa" w:w="3685"/>
          </w:tcPr>
          <w:p>
            <w:pPr>
              <w:spacing w:after="20"/>
            </w:pPr>
            <w:r/>
            <w:r>
              <w:rPr>
                <w:sz w:val="19"/>
              </w:rPr>
              <w:t>[Name]</w:t>
            </w:r>
          </w:p>
        </w:tc>
        <w:tc>
          <w:tcPr>
            <w:tcW w:type="dxa" w:w="2551"/>
          </w:tcPr>
          <w:p>
            <w:pPr>
              <w:spacing w:after="20"/>
            </w:pPr>
            <w:r/>
            <w:r>
              <w:rPr>
                <w:sz w:val="19"/>
              </w:rPr>
              <w:t>[Mobile]</w:t>
            </w:r>
          </w:p>
        </w:tc>
      </w:tr>
      <w:tr>
        <w:tc>
          <w:tcPr>
            <w:tcW w:type="dxa" w:w="3402"/>
          </w:tcPr>
          <w:p>
            <w:pPr>
              <w:spacing w:after="20"/>
            </w:pPr>
            <w:r/>
            <w:r>
              <w:rPr>
                <w:sz w:val="19"/>
              </w:rPr>
              <w:t>Production (stage, sound, LED)</w:t>
            </w:r>
          </w:p>
        </w:tc>
        <w:tc>
          <w:tcPr>
            <w:tcW w:type="dxa" w:w="3685"/>
          </w:tcPr>
          <w:p>
            <w:pPr>
              <w:spacing w:after="20"/>
            </w:pPr>
            <w:r/>
            <w:r>
              <w:rPr>
                <w:sz w:val="19"/>
              </w:rPr>
              <w:t>[Vendor / name]</w:t>
            </w:r>
          </w:p>
        </w:tc>
        <w:tc>
          <w:tcPr>
            <w:tcW w:type="dxa" w:w="2551"/>
          </w:tcPr>
          <w:p>
            <w:pPr>
              <w:spacing w:after="20"/>
            </w:pPr>
            <w:r/>
            <w:r>
              <w:rPr>
                <w:sz w:val="19"/>
              </w:rPr>
              <w:t>[Mobile]</w:t>
            </w:r>
          </w:p>
        </w:tc>
      </w:tr>
      <w:tr>
        <w:tc>
          <w:tcPr>
            <w:tcW w:type="dxa" w:w="3402"/>
          </w:tcPr>
          <w:p>
            <w:pPr>
              <w:spacing w:after="20"/>
            </w:pPr>
            <w:r/>
            <w:r>
              <w:rPr>
                <w:sz w:val="19"/>
              </w:rPr>
              <w:t>Catering</w:t>
            </w:r>
          </w:p>
        </w:tc>
        <w:tc>
          <w:tcPr>
            <w:tcW w:type="dxa" w:w="3685"/>
          </w:tcPr>
          <w:p>
            <w:pPr>
              <w:spacing w:after="20"/>
            </w:pPr>
            <w:r/>
            <w:r>
              <w:rPr>
                <w:sz w:val="19"/>
              </w:rPr>
              <w:t>[Caterer / captain name]</w:t>
            </w:r>
          </w:p>
        </w:tc>
        <w:tc>
          <w:tcPr>
            <w:tcW w:type="dxa" w:w="2551"/>
          </w:tcPr>
          <w:p>
            <w:pPr>
              <w:spacing w:after="20"/>
            </w:pPr>
            <w:r/>
            <w:r>
              <w:rPr>
                <w:sz w:val="19"/>
              </w:rPr>
              <w:t>[Mobile]</w:t>
            </w:r>
          </w:p>
        </w:tc>
      </w:tr>
      <w:tr>
        <w:tc>
          <w:tcPr>
            <w:tcW w:type="dxa" w:w="3402"/>
          </w:tcPr>
          <w:p>
            <w:pPr>
              <w:spacing w:after="20"/>
            </w:pPr>
            <w:r/>
            <w:r>
              <w:rPr>
                <w:sz w:val="19"/>
              </w:rPr>
              <w:t>Venue contact</w:t>
            </w:r>
          </w:p>
        </w:tc>
        <w:tc>
          <w:tcPr>
            <w:tcW w:type="dxa" w:w="3685"/>
          </w:tcPr>
          <w:p>
            <w:pPr>
              <w:spacing w:after="20"/>
            </w:pPr>
            <w:r/>
            <w:r>
              <w:rPr>
                <w:sz w:val="19"/>
              </w:rPr>
              <w:t>[Banquet manager]</w:t>
            </w:r>
          </w:p>
        </w:tc>
        <w:tc>
          <w:tcPr>
            <w:tcW w:type="dxa" w:w="2551"/>
          </w:tcPr>
          <w:p>
            <w:pPr>
              <w:spacing w:after="20"/>
            </w:pPr>
            <w:r/>
            <w:r>
              <w:rPr>
                <w:sz w:val="19"/>
              </w:rPr>
              <w:t>[Mobile]</w:t>
            </w:r>
          </w:p>
        </w:tc>
      </w:tr>
      <w:tr>
        <w:tc>
          <w:tcPr>
            <w:tcW w:type="dxa" w:w="3402"/>
          </w:tcPr>
          <w:p>
            <w:pPr>
              <w:spacing w:after="20"/>
            </w:pPr>
            <w:r/>
            <w:r>
              <w:rPr>
                <w:sz w:val="19"/>
              </w:rPr>
              <w:t>Client-side coordinator</w:t>
            </w:r>
          </w:p>
        </w:tc>
        <w:tc>
          <w:tcPr>
            <w:tcW w:type="dxa" w:w="3685"/>
          </w:tcPr>
          <w:p>
            <w:pPr>
              <w:spacing w:after="20"/>
            </w:pPr>
            <w:r/>
            <w:r>
              <w:rPr>
                <w:sz w:val="19"/>
              </w:rPr>
              <w:t>[Client admin lead]</w:t>
            </w:r>
          </w:p>
        </w:tc>
        <w:tc>
          <w:tcPr>
            <w:tcW w:type="dxa" w:w="2551"/>
          </w:tcPr>
          <w:p>
            <w:pPr>
              <w:spacing w:after="20"/>
            </w:pPr>
            <w:r/>
            <w:r>
              <w:rPr>
                <w:sz w:val="19"/>
              </w:rPr>
              <w:t>[Mobile]</w:t>
            </w:r>
          </w:p>
        </w:tc>
      </w:tr>
    </w:tbl>
    <w:p>
      <w:pPr>
        <w:spacing w:after="40"/>
      </w:pPr>
    </w:p>
    <w:p>
      <w:pPr>
        <w:pStyle w:val="Heading1"/>
      </w:pPr>
      <w:r>
        <w:t>7. Budget: recommended option (B)</w:t>
      </w:r>
    </w:p>
    <w:p>
      <w:pPr>
        <w:spacing w:after="80"/>
      </w:pPr>
      <w:r>
        <w:rPr>
          <w:b/>
          <w:i/>
          <w:color w:val="5B6479"/>
          <w:sz w:val="19"/>
        </w:rPr>
        <w:t xml:space="preserve">What to write here: </w:t>
      </w:r>
      <w:r>
        <w:rPr>
          <w:i/>
          <w:color w:val="5B6479"/>
          <w:sz w:val="19"/>
        </w:rPr>
        <w:t>Group costs by the same categories your client will use on its purchase order, so their accounts team can match invoice to PO line by line. Show the management fee as its own visible line.</w:t>
      </w:r>
    </w:p>
    <w:tbl>
      <w:tblPr>
        <w:tblStyle w:val="TableGrid"/>
        <w:tblW w:type="auto" w:w="0"/>
        <w:jc w:val="center"/>
        <w:tblLook w:firstColumn="1" w:firstRow="1" w:lastColumn="0" w:lastRow="0" w:noHBand="0" w:noVBand="1" w:val="04A0"/>
      </w:tblPr>
      <w:tblGrid>
        <w:gridCol w:w="3213"/>
        <w:gridCol w:w="3213"/>
        <w:gridCol w:w="3213"/>
      </w:tblGrid>
      <w:tr>
        <w:tc>
          <w:tcPr>
            <w:tcW w:type="dxa" w:w="3969"/>
            <w:shd w:val="clear" w:color="auto" w:fill="1A3FF0"/>
          </w:tcPr>
          <w:p>
            <w:pPr>
              <w:spacing w:after="20"/>
            </w:pPr>
            <w:r/>
            <w:r>
              <w:rPr>
                <w:b/>
                <w:color w:val="FFFFFF"/>
                <w:sz w:val="19"/>
              </w:rPr>
              <w:t>Item</w:t>
            </w:r>
          </w:p>
        </w:tc>
        <w:tc>
          <w:tcPr>
            <w:tcW w:type="dxa" w:w="3402"/>
            <w:shd w:val="clear" w:color="auto" w:fill="1A3FF0"/>
          </w:tcPr>
          <w:p>
            <w:pPr>
              <w:spacing w:after="20"/>
            </w:pPr>
            <w:r/>
            <w:r>
              <w:rPr>
                <w:b/>
                <w:color w:val="FFFFFF"/>
                <w:sz w:val="19"/>
              </w:rPr>
              <w:t>Basis</w:t>
            </w:r>
          </w:p>
        </w:tc>
        <w:tc>
          <w:tcPr>
            <w:tcW w:type="dxa" w:w="2268"/>
            <w:shd w:val="clear" w:color="auto" w:fill="1A3FF0"/>
          </w:tcPr>
          <w:p>
            <w:pPr>
              <w:spacing w:after="20"/>
              <w:jc w:val="right"/>
            </w:pPr>
            <w:r/>
            <w:r>
              <w:rPr>
                <w:b/>
                <w:color w:val="FFFFFF"/>
                <w:sz w:val="19"/>
              </w:rPr>
              <w:t>Amount (Rs)</w:t>
            </w:r>
          </w:p>
        </w:tc>
      </w:tr>
      <w:tr>
        <w:tc>
          <w:tcPr>
            <w:tcW w:type="dxa" w:w="3969"/>
          </w:tcPr>
          <w:p>
            <w:pPr>
              <w:spacing w:after="20"/>
            </w:pPr>
            <w:r/>
            <w:r>
              <w:rPr>
                <w:sz w:val="19"/>
              </w:rPr>
              <w:t>Venue hire</w:t>
            </w:r>
          </w:p>
        </w:tc>
        <w:tc>
          <w:tcPr>
            <w:tcW w:type="dxa" w:w="3402"/>
          </w:tcPr>
          <w:p>
            <w:pPr>
              <w:spacing w:after="20"/>
            </w:pPr>
            <w:r/>
            <w:r>
              <w:rPr>
                <w:sz w:val="19"/>
              </w:rPr>
              <w:t>7 pm to midnight, 300 seated</w:t>
            </w:r>
          </w:p>
        </w:tc>
        <w:tc>
          <w:tcPr>
            <w:tcW w:type="dxa" w:w="2268"/>
          </w:tcPr>
          <w:p>
            <w:pPr>
              <w:spacing w:after="20"/>
              <w:jc w:val="right"/>
            </w:pPr>
            <w:r/>
            <w:r>
              <w:rPr>
                <w:sz w:val="19"/>
              </w:rPr>
              <w:t>₹1,20,000</w:t>
            </w:r>
          </w:p>
        </w:tc>
      </w:tr>
      <w:tr>
        <w:tc>
          <w:tcPr>
            <w:tcW w:type="dxa" w:w="3969"/>
          </w:tcPr>
          <w:p>
            <w:pPr>
              <w:spacing w:after="20"/>
            </w:pPr>
            <w:r/>
            <w:r>
              <w:rPr>
                <w:sz w:val="19"/>
              </w:rPr>
              <w:t>Food &amp; beverage</w:t>
            </w:r>
          </w:p>
        </w:tc>
        <w:tc>
          <w:tcPr>
            <w:tcW w:type="dxa" w:w="3402"/>
          </w:tcPr>
          <w:p>
            <w:pPr>
              <w:spacing w:after="20"/>
            </w:pPr>
            <w:r/>
            <w:r>
              <w:rPr>
                <w:sz w:val="19"/>
              </w:rPr>
              <w:t>300 guests x ₹1,650 per plate</w:t>
            </w:r>
          </w:p>
        </w:tc>
        <w:tc>
          <w:tcPr>
            <w:tcW w:type="dxa" w:w="2268"/>
          </w:tcPr>
          <w:p>
            <w:pPr>
              <w:spacing w:after="20"/>
              <w:jc w:val="right"/>
            </w:pPr>
            <w:r/>
            <w:r>
              <w:rPr>
                <w:sz w:val="19"/>
              </w:rPr>
              <w:t>₹4,95,000</w:t>
            </w:r>
          </w:p>
        </w:tc>
      </w:tr>
      <w:tr>
        <w:tc>
          <w:tcPr>
            <w:tcW w:type="dxa" w:w="3969"/>
          </w:tcPr>
          <w:p>
            <w:pPr>
              <w:spacing w:after="20"/>
            </w:pPr>
            <w:r/>
            <w:r>
              <w:rPr>
                <w:sz w:val="19"/>
              </w:rPr>
              <w:t>Stage, LED wall, sound and lights</w:t>
            </w:r>
          </w:p>
        </w:tc>
        <w:tc>
          <w:tcPr>
            <w:tcW w:type="dxa" w:w="3402"/>
          </w:tcPr>
          <w:p>
            <w:pPr>
              <w:spacing w:after="20"/>
            </w:pPr>
            <w:r/>
            <w:r>
              <w:rPr>
                <w:sz w:val="19"/>
              </w:rPr>
              <w:t>24 x 16 ft stage, 16 x 9 ft LED</w:t>
            </w:r>
          </w:p>
        </w:tc>
        <w:tc>
          <w:tcPr>
            <w:tcW w:type="dxa" w:w="2268"/>
          </w:tcPr>
          <w:p>
            <w:pPr>
              <w:spacing w:after="20"/>
              <w:jc w:val="right"/>
            </w:pPr>
            <w:r/>
            <w:r>
              <w:rPr>
                <w:sz w:val="19"/>
              </w:rPr>
              <w:t>₹1,85,000</w:t>
            </w:r>
          </w:p>
        </w:tc>
      </w:tr>
      <w:tr>
        <w:tc>
          <w:tcPr>
            <w:tcW w:type="dxa" w:w="3969"/>
          </w:tcPr>
          <w:p>
            <w:pPr>
              <w:spacing w:after="20"/>
            </w:pPr>
            <w:r/>
            <w:r>
              <w:rPr>
                <w:sz w:val="19"/>
              </w:rPr>
              <w:t>Anchor and live band</w:t>
            </w:r>
          </w:p>
        </w:tc>
        <w:tc>
          <w:tcPr>
            <w:tcW w:type="dxa" w:w="3402"/>
          </w:tcPr>
          <w:p>
            <w:pPr>
              <w:spacing w:after="20"/>
            </w:pPr>
            <w:r/>
            <w:r>
              <w:rPr>
                <w:sz w:val="19"/>
              </w:rPr>
              <w:t>60 minutes live music</w:t>
            </w:r>
          </w:p>
        </w:tc>
        <w:tc>
          <w:tcPr>
            <w:tcW w:type="dxa" w:w="2268"/>
          </w:tcPr>
          <w:p>
            <w:pPr>
              <w:spacing w:after="20"/>
              <w:jc w:val="right"/>
            </w:pPr>
            <w:r/>
            <w:r>
              <w:rPr>
                <w:sz w:val="19"/>
              </w:rPr>
              <w:t>₹1,40,000</w:t>
            </w:r>
          </w:p>
        </w:tc>
      </w:tr>
      <w:tr>
        <w:tc>
          <w:tcPr>
            <w:tcW w:type="dxa" w:w="3969"/>
          </w:tcPr>
          <w:p>
            <w:pPr>
              <w:spacing w:after="20"/>
            </w:pPr>
            <w:r/>
            <w:r>
              <w:rPr>
                <w:sz w:val="19"/>
              </w:rPr>
              <w:t>Decor and branding</w:t>
            </w:r>
          </w:p>
        </w:tc>
        <w:tc>
          <w:tcPr>
            <w:tcW w:type="dxa" w:w="3402"/>
          </w:tcPr>
          <w:p>
            <w:pPr>
              <w:spacing w:after="20"/>
            </w:pPr>
            <w:r/>
            <w:r>
              <w:rPr>
                <w:sz w:val="19"/>
              </w:rPr>
              <w:t>Arch, backdrop, 30 centrepieces</w:t>
            </w:r>
          </w:p>
        </w:tc>
        <w:tc>
          <w:tcPr>
            <w:tcW w:type="dxa" w:w="2268"/>
          </w:tcPr>
          <w:p>
            <w:pPr>
              <w:spacing w:after="20"/>
              <w:jc w:val="right"/>
            </w:pPr>
            <w:r/>
            <w:r>
              <w:rPr>
                <w:sz w:val="19"/>
              </w:rPr>
              <w:t>₹1,05,000</w:t>
            </w:r>
          </w:p>
        </w:tc>
      </w:tr>
      <w:tr>
        <w:tc>
          <w:tcPr>
            <w:tcW w:type="dxa" w:w="3969"/>
          </w:tcPr>
          <w:p>
            <w:pPr>
              <w:spacing w:after="20"/>
            </w:pPr>
            <w:r/>
            <w:r>
              <w:rPr>
                <w:sz w:val="19"/>
              </w:rPr>
              <w:t>Photography and video</w:t>
            </w:r>
          </w:p>
        </w:tc>
        <w:tc>
          <w:tcPr>
            <w:tcW w:type="dxa" w:w="3402"/>
          </w:tcPr>
          <w:p>
            <w:pPr>
              <w:spacing w:after="20"/>
            </w:pPr>
            <w:r/>
            <w:r>
              <w:rPr>
                <w:sz w:val="19"/>
              </w:rPr>
              <w:t>1 + 1 crew, highlights film</w:t>
            </w:r>
          </w:p>
        </w:tc>
        <w:tc>
          <w:tcPr>
            <w:tcW w:type="dxa" w:w="2268"/>
          </w:tcPr>
          <w:p>
            <w:pPr>
              <w:spacing w:after="20"/>
              <w:jc w:val="right"/>
            </w:pPr>
            <w:r/>
            <w:r>
              <w:rPr>
                <w:sz w:val="19"/>
              </w:rPr>
              <w:t>₹60,000</w:t>
            </w:r>
          </w:p>
        </w:tc>
      </w:tr>
      <w:tr>
        <w:tc>
          <w:tcPr>
            <w:tcW w:type="dxa" w:w="3969"/>
          </w:tcPr>
          <w:p>
            <w:pPr>
              <w:spacing w:after="20"/>
            </w:pPr>
            <w:r/>
            <w:r>
              <w:rPr>
                <w:sz w:val="19"/>
              </w:rPr>
              <w:t>On-ground crew</w:t>
            </w:r>
          </w:p>
        </w:tc>
        <w:tc>
          <w:tcPr>
            <w:tcW w:type="dxa" w:w="3402"/>
          </w:tcPr>
          <w:p>
            <w:pPr>
              <w:spacing w:after="20"/>
            </w:pPr>
            <w:r/>
            <w:r>
              <w:rPr>
                <w:sz w:val="19"/>
              </w:rPr>
              <w:t>12 people</w:t>
            </w:r>
          </w:p>
        </w:tc>
        <w:tc>
          <w:tcPr>
            <w:tcW w:type="dxa" w:w="2268"/>
          </w:tcPr>
          <w:p>
            <w:pPr>
              <w:spacing w:after="20"/>
              <w:jc w:val="right"/>
            </w:pPr>
            <w:r/>
            <w:r>
              <w:rPr>
                <w:sz w:val="19"/>
              </w:rPr>
              <w:t>₹45,000</w:t>
            </w:r>
          </w:p>
        </w:tc>
      </w:tr>
      <w:tr>
        <w:tc>
          <w:tcPr>
            <w:tcW w:type="dxa" w:w="3969"/>
          </w:tcPr>
          <w:p>
            <w:pPr>
              <w:spacing w:after="20"/>
            </w:pPr>
            <w:r/>
            <w:r>
              <w:rPr>
                <w:sz w:val="19"/>
              </w:rPr>
              <w:t>Subtotal</w:t>
            </w:r>
          </w:p>
        </w:tc>
        <w:tc>
          <w:tcPr>
            <w:tcW w:type="dxa" w:w="3402"/>
          </w:tcPr>
          <w:p>
            <w:pPr>
              <w:spacing w:after="20"/>
            </w:pPr>
            <w:r/>
            <w:r>
              <w:rPr>
                <w:sz w:val="19"/>
              </w:rPr>
            </w:r>
          </w:p>
        </w:tc>
        <w:tc>
          <w:tcPr>
            <w:tcW w:type="dxa" w:w="2268"/>
          </w:tcPr>
          <w:p>
            <w:pPr>
              <w:spacing w:after="20"/>
              <w:jc w:val="right"/>
            </w:pPr>
            <w:r/>
            <w:r>
              <w:rPr>
                <w:sz w:val="19"/>
              </w:rPr>
              <w:t>₹11,50,000</w:t>
            </w:r>
          </w:p>
        </w:tc>
      </w:tr>
      <w:tr>
        <w:tc>
          <w:tcPr>
            <w:tcW w:type="dxa" w:w="3969"/>
          </w:tcPr>
          <w:p>
            <w:pPr>
              <w:spacing w:after="20"/>
            </w:pPr>
            <w:r/>
            <w:r>
              <w:rPr>
                <w:sz w:val="19"/>
              </w:rPr>
              <w:t>Management fee</w:t>
            </w:r>
          </w:p>
        </w:tc>
        <w:tc>
          <w:tcPr>
            <w:tcW w:type="dxa" w:w="3402"/>
          </w:tcPr>
          <w:p>
            <w:pPr>
              <w:spacing w:after="20"/>
            </w:pPr>
            <w:r/>
            <w:r>
              <w:rPr>
                <w:sz w:val="19"/>
              </w:rPr>
              <w:t>12% of subtotal</w:t>
            </w:r>
          </w:p>
        </w:tc>
        <w:tc>
          <w:tcPr>
            <w:tcW w:type="dxa" w:w="2268"/>
          </w:tcPr>
          <w:p>
            <w:pPr>
              <w:spacing w:after="20"/>
              <w:jc w:val="right"/>
            </w:pPr>
            <w:r/>
            <w:r>
              <w:rPr>
                <w:sz w:val="19"/>
              </w:rPr>
              <w:t>₹1,38,000</w:t>
            </w:r>
          </w:p>
        </w:tc>
      </w:tr>
      <w:tr>
        <w:tc>
          <w:tcPr>
            <w:tcW w:type="dxa" w:w="3969"/>
          </w:tcPr>
          <w:p>
            <w:pPr>
              <w:spacing w:after="20"/>
            </w:pPr>
            <w:r/>
            <w:r>
              <w:rPr>
                <w:sz w:val="19"/>
              </w:rPr>
              <w:t>Contingency (held, billed only if used)</w:t>
            </w:r>
          </w:p>
        </w:tc>
        <w:tc>
          <w:tcPr>
            <w:tcW w:type="dxa" w:w="3402"/>
          </w:tcPr>
          <w:p>
            <w:pPr>
              <w:spacing w:after="20"/>
            </w:pPr>
            <w:r/>
            <w:r>
              <w:rPr>
                <w:sz w:val="19"/>
              </w:rPr>
              <w:t>5% of subtotal</w:t>
            </w:r>
          </w:p>
        </w:tc>
        <w:tc>
          <w:tcPr>
            <w:tcW w:type="dxa" w:w="2268"/>
          </w:tcPr>
          <w:p>
            <w:pPr>
              <w:spacing w:after="20"/>
              <w:jc w:val="right"/>
            </w:pPr>
            <w:r/>
            <w:r>
              <w:rPr>
                <w:sz w:val="19"/>
              </w:rPr>
              <w:t>₹57,500</w:t>
            </w:r>
          </w:p>
        </w:tc>
      </w:tr>
      <w:tr>
        <w:tc>
          <w:tcPr>
            <w:tcW w:type="dxa" w:w="3969"/>
          </w:tcPr>
          <w:p>
            <w:pPr>
              <w:spacing w:after="20"/>
            </w:pPr>
            <w:r/>
            <w:r>
              <w:rPr>
                <w:sz w:val="19"/>
              </w:rPr>
              <w:t>Taxable value</w:t>
            </w:r>
          </w:p>
        </w:tc>
        <w:tc>
          <w:tcPr>
            <w:tcW w:type="dxa" w:w="3402"/>
          </w:tcPr>
          <w:p>
            <w:pPr>
              <w:spacing w:after="20"/>
            </w:pPr>
            <w:r/>
            <w:r>
              <w:rPr>
                <w:sz w:val="19"/>
              </w:rPr>
            </w:r>
          </w:p>
        </w:tc>
        <w:tc>
          <w:tcPr>
            <w:tcW w:type="dxa" w:w="2268"/>
          </w:tcPr>
          <w:p>
            <w:pPr>
              <w:spacing w:after="20"/>
              <w:jc w:val="right"/>
            </w:pPr>
            <w:r/>
            <w:r>
              <w:rPr>
                <w:sz w:val="19"/>
              </w:rPr>
              <w:t>₹13,45,500</w:t>
            </w:r>
          </w:p>
        </w:tc>
      </w:tr>
      <w:tr>
        <w:tc>
          <w:tcPr>
            <w:tcW w:type="dxa" w:w="3969"/>
          </w:tcPr>
          <w:p>
            <w:pPr>
              <w:spacing w:after="20"/>
            </w:pPr>
            <w:r/>
            <w:r>
              <w:rPr>
                <w:sz w:val="19"/>
              </w:rPr>
              <w:t>CGST @ 9% (SAC 998397)</w:t>
            </w:r>
          </w:p>
        </w:tc>
        <w:tc>
          <w:tcPr>
            <w:tcW w:type="dxa" w:w="3402"/>
          </w:tcPr>
          <w:p>
            <w:pPr>
              <w:spacing w:after="20"/>
            </w:pPr>
            <w:r/>
            <w:r>
              <w:rPr>
                <w:sz w:val="19"/>
              </w:rPr>
              <w:t>Intra-state supply</w:t>
            </w:r>
          </w:p>
        </w:tc>
        <w:tc>
          <w:tcPr>
            <w:tcW w:type="dxa" w:w="2268"/>
          </w:tcPr>
          <w:p>
            <w:pPr>
              <w:spacing w:after="20"/>
              <w:jc w:val="right"/>
            </w:pPr>
            <w:r/>
            <w:r>
              <w:rPr>
                <w:sz w:val="19"/>
              </w:rPr>
              <w:t>₹1,21,095</w:t>
            </w:r>
          </w:p>
        </w:tc>
      </w:tr>
      <w:tr>
        <w:tc>
          <w:tcPr>
            <w:tcW w:type="dxa" w:w="3969"/>
          </w:tcPr>
          <w:p>
            <w:pPr>
              <w:spacing w:after="20"/>
            </w:pPr>
            <w:r/>
            <w:r>
              <w:rPr>
                <w:sz w:val="19"/>
              </w:rPr>
              <w:t>SGST @ 9% (SAC 998397)</w:t>
            </w:r>
          </w:p>
        </w:tc>
        <w:tc>
          <w:tcPr>
            <w:tcW w:type="dxa" w:w="3402"/>
          </w:tcPr>
          <w:p>
            <w:pPr>
              <w:spacing w:after="20"/>
            </w:pPr>
            <w:r/>
            <w:r>
              <w:rPr>
                <w:sz w:val="19"/>
              </w:rPr>
              <w:t>Intra-state supply</w:t>
            </w:r>
          </w:p>
        </w:tc>
        <w:tc>
          <w:tcPr>
            <w:tcW w:type="dxa" w:w="2268"/>
          </w:tcPr>
          <w:p>
            <w:pPr>
              <w:spacing w:after="20"/>
              <w:jc w:val="right"/>
            </w:pPr>
            <w:r/>
            <w:r>
              <w:rPr>
                <w:sz w:val="19"/>
              </w:rPr>
              <w:t>₹1,21,095</w:t>
            </w:r>
          </w:p>
        </w:tc>
      </w:tr>
      <w:tr>
        <w:tc>
          <w:tcPr>
            <w:tcW w:type="dxa" w:w="3969"/>
            <w:shd w:val="clear" w:color="auto" w:fill="EEF2FF"/>
          </w:tcPr>
          <w:p>
            <w:pPr>
              <w:spacing w:after="20"/>
            </w:pPr>
            <w:r/>
            <w:r>
              <w:rPr>
                <w:b/>
                <w:sz w:val="19"/>
              </w:rPr>
              <w:t>Total payable</w:t>
            </w:r>
          </w:p>
        </w:tc>
        <w:tc>
          <w:tcPr>
            <w:tcW w:type="dxa" w:w="3402"/>
            <w:shd w:val="clear" w:color="auto" w:fill="EEF2FF"/>
          </w:tcPr>
          <w:p>
            <w:pPr>
              <w:spacing w:after="20"/>
            </w:pPr>
            <w:r/>
            <w:r>
              <w:rPr>
                <w:b/>
                <w:sz w:val="19"/>
              </w:rPr>
            </w:r>
          </w:p>
        </w:tc>
        <w:tc>
          <w:tcPr>
            <w:tcW w:type="dxa" w:w="2268"/>
            <w:shd w:val="clear" w:color="auto" w:fill="EEF2FF"/>
          </w:tcPr>
          <w:p>
            <w:pPr>
              <w:spacing w:after="20"/>
              <w:jc w:val="right"/>
            </w:pPr>
            <w:r/>
            <w:r>
              <w:rPr>
                <w:b/>
                <w:sz w:val="19"/>
              </w:rPr>
              <w:t>₹15,87,690</w:t>
            </w:r>
          </w:p>
        </w:tc>
      </w:tr>
    </w:tbl>
    <w:p>
      <w:pPr>
        <w:spacing w:after="40"/>
      </w:pPr>
    </w:p>
    <w:p>
      <w:r>
        <w:rPr>
          <w:b w:val="0"/>
          <w:i/>
          <w:color w:val="5B6479"/>
          <w:sz w:val="19"/>
        </w:rPr>
        <w:t>For an out-of-state client GSTIN, replace CGST and SGST with 18% IGST. If the client deducts TDS under Section 194-C (2% for companies, on the taxable value excluding GST), expect ₹26,910 to be withheld and shown in Form 16A.</w:t>
      </w:r>
    </w:p>
    <w:p>
      <w:pPr>
        <w:pStyle w:val="Heading1"/>
      </w:pPr>
      <w:r>
        <w:t>8. Options at a glance</w:t>
      </w:r>
    </w:p>
    <w:p>
      <w:pPr>
        <w:spacing w:after="80"/>
      </w:pPr>
      <w:r>
        <w:rPr>
          <w:b/>
          <w:i/>
          <w:color w:val="5B6479"/>
          <w:sz w:val="19"/>
        </w:rPr>
        <w:t xml:space="preserve">What to write here: </w:t>
      </w:r>
      <w:r>
        <w:rPr>
          <w:i/>
          <w:color w:val="5B6479"/>
          <w:sz w:val="19"/>
        </w:rPr>
        <w:t>Give three prices for the same event. The middle one should be the plan you would actually recommend. Make the lowest option a real, deliverable event, not a strawman.</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268"/>
            <w:shd w:val="clear" w:color="auto" w:fill="1A3FF0"/>
          </w:tcPr>
          <w:p>
            <w:pPr>
              <w:spacing w:after="20"/>
            </w:pPr>
            <w:r/>
            <w:r>
              <w:rPr>
                <w:b/>
                <w:color w:val="FFFFFF"/>
                <w:sz w:val="19"/>
              </w:rPr>
            </w:r>
          </w:p>
        </w:tc>
        <w:tc>
          <w:tcPr>
            <w:tcW w:type="dxa" w:w="2438"/>
            <w:shd w:val="clear" w:color="auto" w:fill="1A3FF0"/>
          </w:tcPr>
          <w:p>
            <w:pPr>
              <w:spacing w:after="20"/>
              <w:jc w:val="right"/>
            </w:pPr>
            <w:r/>
            <w:r>
              <w:rPr>
                <w:b/>
                <w:color w:val="FFFFFF"/>
                <w:sz w:val="19"/>
              </w:rPr>
              <w:t>A: Essential</w:t>
            </w:r>
          </w:p>
        </w:tc>
        <w:tc>
          <w:tcPr>
            <w:tcW w:type="dxa" w:w="2438"/>
            <w:shd w:val="clear" w:color="auto" w:fill="1A3FF0"/>
          </w:tcPr>
          <w:p>
            <w:pPr>
              <w:spacing w:after="20"/>
              <w:jc w:val="right"/>
            </w:pPr>
            <w:r/>
            <w:r>
              <w:rPr>
                <w:b/>
                <w:color w:val="FFFFFF"/>
                <w:sz w:val="19"/>
              </w:rPr>
              <w:t>B: Recommended</w:t>
            </w:r>
          </w:p>
        </w:tc>
        <w:tc>
          <w:tcPr>
            <w:tcW w:type="dxa" w:w="2494"/>
            <w:shd w:val="clear" w:color="auto" w:fill="1A3FF0"/>
          </w:tcPr>
          <w:p>
            <w:pPr>
              <w:spacing w:after="20"/>
              <w:jc w:val="right"/>
            </w:pPr>
            <w:r/>
            <w:r>
              <w:rPr>
                <w:b/>
                <w:color w:val="FFFFFF"/>
                <w:sz w:val="19"/>
              </w:rPr>
              <w:t>C: Signature</w:t>
            </w:r>
          </w:p>
        </w:tc>
      </w:tr>
      <w:tr>
        <w:tc>
          <w:tcPr>
            <w:tcW w:type="dxa" w:w="2268"/>
          </w:tcPr>
          <w:p>
            <w:pPr>
              <w:spacing w:after="20"/>
            </w:pPr>
            <w:r/>
            <w:r>
              <w:rPr>
                <w:sz w:val="19"/>
              </w:rPr>
              <w:t>Food per plate</w:t>
            </w:r>
          </w:p>
        </w:tc>
        <w:tc>
          <w:tcPr>
            <w:tcW w:type="dxa" w:w="2438"/>
          </w:tcPr>
          <w:p>
            <w:pPr>
              <w:spacing w:after="20"/>
              <w:jc w:val="right"/>
            </w:pPr>
            <w:r/>
            <w:r>
              <w:rPr>
                <w:sz w:val="19"/>
              </w:rPr>
              <w:t>₹1,250</w:t>
            </w:r>
          </w:p>
        </w:tc>
        <w:tc>
          <w:tcPr>
            <w:tcW w:type="dxa" w:w="2438"/>
          </w:tcPr>
          <w:p>
            <w:pPr>
              <w:spacing w:after="20"/>
              <w:jc w:val="right"/>
            </w:pPr>
            <w:r/>
            <w:r>
              <w:rPr>
                <w:sz w:val="19"/>
              </w:rPr>
              <w:t>₹1,650</w:t>
            </w:r>
          </w:p>
        </w:tc>
        <w:tc>
          <w:tcPr>
            <w:tcW w:type="dxa" w:w="2494"/>
          </w:tcPr>
          <w:p>
            <w:pPr>
              <w:spacing w:after="20"/>
              <w:jc w:val="right"/>
            </w:pPr>
            <w:r/>
            <w:r>
              <w:rPr>
                <w:sz w:val="19"/>
              </w:rPr>
              <w:t>₹1,900</w:t>
            </w:r>
          </w:p>
        </w:tc>
      </w:tr>
      <w:tr>
        <w:tc>
          <w:tcPr>
            <w:tcW w:type="dxa" w:w="2268"/>
          </w:tcPr>
          <w:p>
            <w:pPr>
              <w:spacing w:after="20"/>
            </w:pPr>
            <w:r/>
            <w:r>
              <w:rPr>
                <w:sz w:val="19"/>
              </w:rPr>
              <w:t>Stage and LED</w:t>
            </w:r>
          </w:p>
        </w:tc>
        <w:tc>
          <w:tcPr>
            <w:tcW w:type="dxa" w:w="2438"/>
          </w:tcPr>
          <w:p>
            <w:pPr>
              <w:spacing w:after="20"/>
              <w:jc w:val="right"/>
            </w:pPr>
            <w:r/>
            <w:r>
              <w:rPr>
                <w:sz w:val="19"/>
              </w:rPr>
              <w:t>₹1,20,000</w:t>
            </w:r>
          </w:p>
        </w:tc>
        <w:tc>
          <w:tcPr>
            <w:tcW w:type="dxa" w:w="2438"/>
          </w:tcPr>
          <w:p>
            <w:pPr>
              <w:spacing w:after="20"/>
              <w:jc w:val="right"/>
            </w:pPr>
            <w:r/>
            <w:r>
              <w:rPr>
                <w:sz w:val="19"/>
              </w:rPr>
              <w:t>₹1,85,000</w:t>
            </w:r>
          </w:p>
        </w:tc>
        <w:tc>
          <w:tcPr>
            <w:tcW w:type="dxa" w:w="2494"/>
          </w:tcPr>
          <w:p>
            <w:pPr>
              <w:spacing w:after="20"/>
              <w:jc w:val="right"/>
            </w:pPr>
            <w:r/>
            <w:r>
              <w:rPr>
                <w:sz w:val="19"/>
              </w:rPr>
              <w:t>₹2,40,000</w:t>
            </w:r>
          </w:p>
        </w:tc>
      </w:tr>
      <w:tr>
        <w:tc>
          <w:tcPr>
            <w:tcW w:type="dxa" w:w="2268"/>
          </w:tcPr>
          <w:p>
            <w:pPr>
              <w:spacing w:after="20"/>
            </w:pPr>
            <w:r/>
            <w:r>
              <w:rPr>
                <w:sz w:val="19"/>
              </w:rPr>
              <w:t>Anchor and music</w:t>
            </w:r>
          </w:p>
        </w:tc>
        <w:tc>
          <w:tcPr>
            <w:tcW w:type="dxa" w:w="2438"/>
          </w:tcPr>
          <w:p>
            <w:pPr>
              <w:spacing w:after="20"/>
              <w:jc w:val="right"/>
            </w:pPr>
            <w:r/>
            <w:r>
              <w:rPr>
                <w:sz w:val="19"/>
              </w:rPr>
              <w:t>₹50,000 (anchor only)</w:t>
            </w:r>
          </w:p>
        </w:tc>
        <w:tc>
          <w:tcPr>
            <w:tcW w:type="dxa" w:w="2438"/>
          </w:tcPr>
          <w:p>
            <w:pPr>
              <w:spacing w:after="20"/>
              <w:jc w:val="right"/>
            </w:pPr>
            <w:r/>
            <w:r>
              <w:rPr>
                <w:sz w:val="19"/>
              </w:rPr>
              <w:t>₹1,40,000 (anchor + band)</w:t>
            </w:r>
          </w:p>
        </w:tc>
        <w:tc>
          <w:tcPr>
            <w:tcW w:type="dxa" w:w="2494"/>
          </w:tcPr>
          <w:p>
            <w:pPr>
              <w:spacing w:after="20"/>
              <w:jc w:val="right"/>
            </w:pPr>
            <w:r/>
            <w:r>
              <w:rPr>
                <w:sz w:val="19"/>
              </w:rPr>
              <w:t>₹2,60,000 (anchor + band + act)</w:t>
            </w:r>
          </w:p>
        </w:tc>
      </w:tr>
      <w:tr>
        <w:tc>
          <w:tcPr>
            <w:tcW w:type="dxa" w:w="2268"/>
          </w:tcPr>
          <w:p>
            <w:pPr>
              <w:spacing w:after="20"/>
            </w:pPr>
            <w:r/>
            <w:r>
              <w:rPr>
                <w:sz w:val="19"/>
              </w:rPr>
              <w:t>Decor and branding</w:t>
            </w:r>
          </w:p>
        </w:tc>
        <w:tc>
          <w:tcPr>
            <w:tcW w:type="dxa" w:w="2438"/>
          </w:tcPr>
          <w:p>
            <w:pPr>
              <w:spacing w:after="20"/>
              <w:jc w:val="right"/>
            </w:pPr>
            <w:r/>
            <w:r>
              <w:rPr>
                <w:sz w:val="19"/>
              </w:rPr>
              <w:t>₹70,000</w:t>
            </w:r>
          </w:p>
        </w:tc>
        <w:tc>
          <w:tcPr>
            <w:tcW w:type="dxa" w:w="2438"/>
          </w:tcPr>
          <w:p>
            <w:pPr>
              <w:spacing w:after="20"/>
              <w:jc w:val="right"/>
            </w:pPr>
            <w:r/>
            <w:r>
              <w:rPr>
                <w:sz w:val="19"/>
              </w:rPr>
              <w:t>₹1,05,000</w:t>
            </w:r>
          </w:p>
        </w:tc>
        <w:tc>
          <w:tcPr>
            <w:tcW w:type="dxa" w:w="2494"/>
          </w:tcPr>
          <w:p>
            <w:pPr>
              <w:spacing w:after="20"/>
              <w:jc w:val="right"/>
            </w:pPr>
            <w:r/>
            <w:r>
              <w:rPr>
                <w:sz w:val="19"/>
              </w:rPr>
              <w:t>₹1,60,000</w:t>
            </w:r>
          </w:p>
        </w:tc>
      </w:tr>
      <w:tr>
        <w:tc>
          <w:tcPr>
            <w:tcW w:type="dxa" w:w="2268"/>
          </w:tcPr>
          <w:p>
            <w:pPr>
              <w:spacing w:after="20"/>
            </w:pPr>
            <w:r/>
            <w:r>
              <w:rPr>
                <w:sz w:val="19"/>
              </w:rPr>
              <w:t>Taxable value</w:t>
            </w:r>
          </w:p>
        </w:tc>
        <w:tc>
          <w:tcPr>
            <w:tcW w:type="dxa" w:w="2438"/>
          </w:tcPr>
          <w:p>
            <w:pPr>
              <w:spacing w:after="20"/>
              <w:jc w:val="right"/>
            </w:pPr>
            <w:r/>
            <w:r>
              <w:rPr>
                <w:sz w:val="19"/>
              </w:rPr>
              <w:t>₹9,82,800</w:t>
            </w:r>
          </w:p>
        </w:tc>
        <w:tc>
          <w:tcPr>
            <w:tcW w:type="dxa" w:w="2438"/>
          </w:tcPr>
          <w:p>
            <w:pPr>
              <w:spacing w:after="20"/>
              <w:jc w:val="right"/>
            </w:pPr>
            <w:r/>
            <w:r>
              <w:rPr>
                <w:sz w:val="19"/>
              </w:rPr>
              <w:t>₹13,45,500</w:t>
            </w:r>
          </w:p>
        </w:tc>
        <w:tc>
          <w:tcPr>
            <w:tcW w:type="dxa" w:w="2494"/>
          </w:tcPr>
          <w:p>
            <w:pPr>
              <w:spacing w:after="20"/>
              <w:jc w:val="right"/>
            </w:pPr>
            <w:r/>
            <w:r>
              <w:rPr>
                <w:sz w:val="19"/>
              </w:rPr>
              <w:t>₹17,02,350</w:t>
            </w:r>
          </w:p>
        </w:tc>
      </w:tr>
      <w:tr>
        <w:tc>
          <w:tcPr>
            <w:tcW w:type="dxa" w:w="2268"/>
          </w:tcPr>
          <w:p>
            <w:pPr>
              <w:spacing w:after="20"/>
            </w:pPr>
            <w:r/>
            <w:r>
              <w:rPr>
                <w:sz w:val="19"/>
              </w:rPr>
              <w:t>Total with 18% GST</w:t>
            </w:r>
          </w:p>
        </w:tc>
        <w:tc>
          <w:tcPr>
            <w:tcW w:type="dxa" w:w="2438"/>
          </w:tcPr>
          <w:p>
            <w:pPr>
              <w:spacing w:after="20"/>
              <w:jc w:val="right"/>
            </w:pPr>
            <w:r/>
            <w:r>
              <w:rPr>
                <w:sz w:val="19"/>
              </w:rPr>
              <w:t>₹11,59,704</w:t>
            </w:r>
          </w:p>
        </w:tc>
        <w:tc>
          <w:tcPr>
            <w:tcW w:type="dxa" w:w="2438"/>
          </w:tcPr>
          <w:p>
            <w:pPr>
              <w:spacing w:after="20"/>
              <w:jc w:val="right"/>
            </w:pPr>
            <w:r/>
            <w:r>
              <w:rPr>
                <w:sz w:val="19"/>
              </w:rPr>
              <w:t>₹15,87,690</w:t>
            </w:r>
          </w:p>
        </w:tc>
        <w:tc>
          <w:tcPr>
            <w:tcW w:type="dxa" w:w="2494"/>
          </w:tcPr>
          <w:p>
            <w:pPr>
              <w:spacing w:after="20"/>
              <w:jc w:val="right"/>
            </w:pPr>
            <w:r/>
            <w:r>
              <w:rPr>
                <w:sz w:val="19"/>
              </w:rPr>
              <w:t>₹20,08,773</w:t>
            </w:r>
          </w:p>
        </w:tc>
      </w:tr>
    </w:tbl>
    <w:p>
      <w:pPr>
        <w:spacing w:after="40"/>
      </w:pPr>
    </w:p>
    <w:p>
      <w:pPr>
        <w:ind w:left="227"/>
      </w:pPr>
      <w:r>
        <w:rPr>
          <w:b/>
          <w:sz w:val="20"/>
        </w:rPr>
        <w:t xml:space="preserve">Sample wording: </w:t>
      </w:r>
      <w:r>
        <w:t>Extra guests beyond 300 are charged at ₹1,650 per plate plus 12% management fee and 18% GST. For example, 80 additional guests add ₹1,32,000 of food, which becomes ₹1,74,451 after fee and GST.</w:t>
      </w:r>
    </w:p>
    <w:p>
      <w:pPr>
        <w:pStyle w:val="Heading1"/>
      </w:pPr>
      <w:r>
        <w:t>9. Payment terms</w:t>
      </w:r>
    </w:p>
    <w:p>
      <w:pPr>
        <w:spacing w:after="80"/>
      </w:pPr>
      <w:r>
        <w:rPr>
          <w:b/>
          <w:i/>
          <w:color w:val="5B6479"/>
          <w:sz w:val="19"/>
        </w:rPr>
        <w:t xml:space="preserve">What to write here: </w:t>
      </w:r>
      <w:r>
        <w:rPr>
          <w:i/>
          <w:color w:val="5B6479"/>
          <w:sz w:val="19"/>
        </w:rPr>
        <w:t>Match the terms to the client. A new startup should pay everything before the event; an established company on a purchase order can carry a balance after it.</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3628"/>
            <w:shd w:val="clear" w:color="auto" w:fill="1A3FF0"/>
          </w:tcPr>
          <w:p>
            <w:pPr>
              <w:spacing w:after="20"/>
            </w:pPr>
            <w:r/>
            <w:r>
              <w:rPr>
                <w:b/>
                <w:color w:val="FFFFFF"/>
                <w:sz w:val="19"/>
              </w:rPr>
              <w:t>Milestone</w:t>
            </w:r>
          </w:p>
        </w:tc>
        <w:tc>
          <w:tcPr>
            <w:tcW w:type="dxa" w:w="1020"/>
            <w:shd w:val="clear" w:color="auto" w:fill="1A3FF0"/>
          </w:tcPr>
          <w:p>
            <w:pPr>
              <w:spacing w:after="20"/>
              <w:jc w:val="right"/>
            </w:pPr>
            <w:r/>
            <w:r>
              <w:rPr>
                <w:b/>
                <w:color w:val="FFFFFF"/>
                <w:sz w:val="19"/>
              </w:rPr>
              <w:t>Share</w:t>
            </w:r>
          </w:p>
        </w:tc>
        <w:tc>
          <w:tcPr>
            <w:tcW w:type="dxa" w:w="2154"/>
            <w:shd w:val="clear" w:color="auto" w:fill="1A3FF0"/>
          </w:tcPr>
          <w:p>
            <w:pPr>
              <w:spacing w:after="20"/>
              <w:jc w:val="right"/>
            </w:pPr>
            <w:r/>
            <w:r>
              <w:rPr>
                <w:b/>
                <w:color w:val="FFFFFF"/>
                <w:sz w:val="19"/>
              </w:rPr>
              <w:t>Amount incl. GST</w:t>
            </w:r>
          </w:p>
        </w:tc>
        <w:tc>
          <w:tcPr>
            <w:tcW w:type="dxa" w:w="2835"/>
            <w:shd w:val="clear" w:color="auto" w:fill="1A3FF0"/>
          </w:tcPr>
          <w:p>
            <w:pPr>
              <w:spacing w:after="20"/>
            </w:pPr>
            <w:r/>
            <w:r>
              <w:rPr>
                <w:b/>
                <w:color w:val="FFFFFF"/>
                <w:sz w:val="19"/>
              </w:rPr>
              <w:t>Due</w:t>
            </w:r>
          </w:p>
        </w:tc>
      </w:tr>
      <w:tr>
        <w:tc>
          <w:tcPr>
            <w:tcW w:type="dxa" w:w="3628"/>
          </w:tcPr>
          <w:p>
            <w:pPr>
              <w:spacing w:after="20"/>
            </w:pPr>
            <w:r/>
            <w:r>
              <w:rPr>
                <w:sz w:val="19"/>
              </w:rPr>
              <w:t>On approval, to confirm the venue date</w:t>
            </w:r>
          </w:p>
        </w:tc>
        <w:tc>
          <w:tcPr>
            <w:tcW w:type="dxa" w:w="1020"/>
          </w:tcPr>
          <w:p>
            <w:pPr>
              <w:spacing w:after="20"/>
              <w:jc w:val="right"/>
            </w:pPr>
            <w:r/>
            <w:r>
              <w:rPr>
                <w:sz w:val="19"/>
              </w:rPr>
              <w:t>40%</w:t>
            </w:r>
          </w:p>
        </w:tc>
        <w:tc>
          <w:tcPr>
            <w:tcW w:type="dxa" w:w="2154"/>
          </w:tcPr>
          <w:p>
            <w:pPr>
              <w:spacing w:after="20"/>
              <w:jc w:val="right"/>
            </w:pPr>
            <w:r/>
            <w:r>
              <w:rPr>
                <w:sz w:val="19"/>
              </w:rPr>
              <w:t>₹6,35,076</w:t>
            </w:r>
          </w:p>
        </w:tc>
        <w:tc>
          <w:tcPr>
            <w:tcW w:type="dxa" w:w="2835"/>
          </w:tcPr>
          <w:p>
            <w:pPr>
              <w:spacing w:after="20"/>
            </w:pPr>
            <w:r/>
            <w:r>
              <w:rPr>
                <w:sz w:val="19"/>
              </w:rPr>
              <w:t>Within 7 days of this proposal</w:t>
            </w:r>
          </w:p>
        </w:tc>
      </w:tr>
      <w:tr>
        <w:tc>
          <w:tcPr>
            <w:tcW w:type="dxa" w:w="3628"/>
          </w:tcPr>
          <w:p>
            <w:pPr>
              <w:spacing w:after="20"/>
            </w:pPr>
            <w:r/>
            <w:r>
              <w:rPr>
                <w:sz w:val="19"/>
              </w:rPr>
              <w:t>Before event, to release vendors</w:t>
            </w:r>
          </w:p>
        </w:tc>
        <w:tc>
          <w:tcPr>
            <w:tcW w:type="dxa" w:w="1020"/>
          </w:tcPr>
          <w:p>
            <w:pPr>
              <w:spacing w:after="20"/>
              <w:jc w:val="right"/>
            </w:pPr>
            <w:r/>
            <w:r>
              <w:rPr>
                <w:sz w:val="19"/>
              </w:rPr>
              <w:t>40%</w:t>
            </w:r>
          </w:p>
        </w:tc>
        <w:tc>
          <w:tcPr>
            <w:tcW w:type="dxa" w:w="2154"/>
          </w:tcPr>
          <w:p>
            <w:pPr>
              <w:spacing w:after="20"/>
              <w:jc w:val="right"/>
            </w:pPr>
            <w:r/>
            <w:r>
              <w:rPr>
                <w:sz w:val="19"/>
              </w:rPr>
              <w:t>₹6,35,076</w:t>
            </w:r>
          </w:p>
        </w:tc>
        <w:tc>
          <w:tcPr>
            <w:tcW w:type="dxa" w:w="2835"/>
          </w:tcPr>
          <w:p>
            <w:pPr>
              <w:spacing w:after="20"/>
            </w:pPr>
            <w:r/>
            <w:r>
              <w:rPr>
                <w:sz w:val="19"/>
              </w:rPr>
              <w:t>7 days before the event</w:t>
            </w:r>
          </w:p>
        </w:tc>
      </w:tr>
      <w:tr>
        <w:tc>
          <w:tcPr>
            <w:tcW w:type="dxa" w:w="3628"/>
          </w:tcPr>
          <w:p>
            <w:pPr>
              <w:spacing w:after="20"/>
            </w:pPr>
            <w:r/>
            <w:r>
              <w:rPr>
                <w:sz w:val="19"/>
              </w:rPr>
              <w:t>After event, against final invoice</w:t>
            </w:r>
          </w:p>
        </w:tc>
        <w:tc>
          <w:tcPr>
            <w:tcW w:type="dxa" w:w="1020"/>
          </w:tcPr>
          <w:p>
            <w:pPr>
              <w:spacing w:after="20"/>
              <w:jc w:val="right"/>
            </w:pPr>
            <w:r/>
            <w:r>
              <w:rPr>
                <w:sz w:val="19"/>
              </w:rPr>
              <w:t>20%</w:t>
            </w:r>
          </w:p>
        </w:tc>
        <w:tc>
          <w:tcPr>
            <w:tcW w:type="dxa" w:w="2154"/>
          </w:tcPr>
          <w:p>
            <w:pPr>
              <w:spacing w:after="20"/>
              <w:jc w:val="right"/>
            </w:pPr>
            <w:r/>
            <w:r>
              <w:rPr>
                <w:sz w:val="19"/>
              </w:rPr>
              <w:t>₹3,17,538</w:t>
            </w:r>
          </w:p>
        </w:tc>
        <w:tc>
          <w:tcPr>
            <w:tcW w:type="dxa" w:w="2835"/>
          </w:tcPr>
          <w:p>
            <w:pPr>
              <w:spacing w:after="20"/>
            </w:pPr>
            <w:r/>
            <w:r>
              <w:rPr>
                <w:sz w:val="19"/>
              </w:rPr>
              <w:t>Within 15 days of the event</w:t>
            </w:r>
          </w:p>
        </w:tc>
      </w:tr>
      <w:tr>
        <w:tc>
          <w:tcPr>
            <w:tcW w:type="dxa" w:w="3628"/>
            <w:shd w:val="clear" w:color="auto" w:fill="EEF2FF"/>
          </w:tcPr>
          <w:p>
            <w:pPr>
              <w:spacing w:after="20"/>
            </w:pPr>
            <w:r/>
            <w:r>
              <w:rPr>
                <w:b/>
                <w:sz w:val="19"/>
              </w:rPr>
              <w:t>Total</w:t>
            </w:r>
          </w:p>
        </w:tc>
        <w:tc>
          <w:tcPr>
            <w:tcW w:type="dxa" w:w="1020"/>
            <w:shd w:val="clear" w:color="auto" w:fill="EEF2FF"/>
          </w:tcPr>
          <w:p>
            <w:pPr>
              <w:spacing w:after="20"/>
              <w:jc w:val="right"/>
            </w:pPr>
            <w:r/>
            <w:r>
              <w:rPr>
                <w:b/>
                <w:sz w:val="19"/>
              </w:rPr>
              <w:t>100%</w:t>
            </w:r>
          </w:p>
        </w:tc>
        <w:tc>
          <w:tcPr>
            <w:tcW w:type="dxa" w:w="2154"/>
            <w:shd w:val="clear" w:color="auto" w:fill="EEF2FF"/>
          </w:tcPr>
          <w:p>
            <w:pPr>
              <w:spacing w:after="20"/>
              <w:jc w:val="right"/>
            </w:pPr>
            <w:r/>
            <w:r>
              <w:rPr>
                <w:b/>
                <w:sz w:val="19"/>
              </w:rPr>
              <w:t>₹15,87,690</w:t>
            </w:r>
          </w:p>
        </w:tc>
        <w:tc>
          <w:tcPr>
            <w:tcW w:type="dxa" w:w="2835"/>
            <w:shd w:val="clear" w:color="auto" w:fill="EEF2FF"/>
          </w:tcPr>
          <w:p>
            <w:pPr>
              <w:spacing w:after="20"/>
            </w:pPr>
            <w:r/>
            <w:r>
              <w:rPr>
                <w:b/>
                <w:sz w:val="19"/>
              </w:rPr>
            </w:r>
          </w:p>
        </w:tc>
      </w:tr>
    </w:tbl>
    <w:p>
      <w:pPr>
        <w:spacing w:after="40"/>
      </w:pPr>
    </w:p>
    <w:p>
      <w:pPr>
        <w:pStyle w:val="Heading1"/>
      </w:pPr>
      <w:r>
        <w:t>10. Assumptions and terms</w:t>
      </w:r>
    </w:p>
    <w:p>
      <w:pPr>
        <w:spacing w:after="80"/>
      </w:pPr>
      <w:r>
        <w:rPr>
          <w:b/>
          <w:i/>
          <w:color w:val="5B6479"/>
          <w:sz w:val="19"/>
        </w:rPr>
        <w:t xml:space="preserve">What to write here: </w:t>
      </w:r>
      <w:r>
        <w:rPr>
          <w:i/>
          <w:color w:val="5B6479"/>
          <w:sz w:val="19"/>
        </w:rPr>
        <w:t>Short numbered clauses. Every clause here should answer a dispute you have had before.</w:t>
      </w:r>
    </w:p>
    <w:p>
      <w:pPr>
        <w:pStyle w:val="ListNumber"/>
        <w:spacing w:after="40"/>
        <w:ind w:left="510"/>
      </w:pPr>
      <w:r>
        <w:t>Validity: this proposal is valid until 12 October 2026. After that, venue availability and vendor rates are re-confirmed.</w:t>
      </w:r>
    </w:p>
    <w:p>
      <w:pPr>
        <w:pStyle w:val="ListNumber"/>
        <w:spacing w:after="40"/>
        <w:ind w:left="510"/>
      </w:pPr>
      <w:r>
        <w:t>Guest count: the final count is confirmed 7 days before the event. Changes of up to 5% are accepted at the quoted per-plate rate; changes above that are billed as additional plates.</w:t>
      </w:r>
    </w:p>
    <w:p>
      <w:pPr>
        <w:pStyle w:val="ListNumber"/>
        <w:spacing w:after="40"/>
        <w:ind w:left="510"/>
      </w:pPr>
      <w:r>
        <w:t>Changes: scope changes after approval are quoted in writing, and work starts only after written or email approval.</w:t>
      </w:r>
    </w:p>
    <w:p>
      <w:pPr>
        <w:pStyle w:val="ListNumber"/>
        <w:spacing w:after="40"/>
        <w:ind w:left="510"/>
      </w:pPr>
      <w:r>
        <w:t>Overtime: any extension beyond midnight is charged per hour at the venue and vendor overtime rates, shown on request.</w:t>
      </w:r>
    </w:p>
    <w:p>
      <w:pPr>
        <w:pStyle w:val="ListNumber"/>
        <w:spacing w:after="40"/>
        <w:ind w:left="510"/>
      </w:pPr>
      <w:r>
        <w:t>Cancellation: 40% of the total is non-refundable once vendors are released. Within 7 days of the event, 80% is payable.</w:t>
      </w:r>
    </w:p>
    <w:p>
      <w:pPr>
        <w:pStyle w:val="ListNumber"/>
        <w:spacing w:after="40"/>
        <w:ind w:left="510"/>
      </w:pPr>
      <w:r>
        <w:t>Force majeure: for events prevented by weather, government order or venue closure, sums already spent with vendors are shared fairly and the balance is credited to a new date within 6 months.</w:t>
      </w:r>
    </w:p>
    <w:p>
      <w:pPr>
        <w:pStyle w:val="ListNumber"/>
        <w:spacing w:after="40"/>
        <w:ind w:left="510"/>
      </w:pPr>
      <w:r>
        <w:t>Taxes: GST is charged at the rate applicable on the date of invoice. TDS, if deducted, is supported by a Form 16A.</w:t>
      </w:r>
    </w:p>
    <w:p>
      <w:pPr>
        <w:pStyle w:val="Heading1"/>
      </w:pPr>
      <w:r>
        <w:t>11. Next step</w:t>
      </w:r>
    </w:p>
    <w:p>
      <w:pPr>
        <w:spacing w:after="80"/>
      </w:pPr>
      <w:r>
        <w:rPr>
          <w:b/>
          <w:i/>
          <w:color w:val="5B6479"/>
          <w:sz w:val="19"/>
        </w:rPr>
        <w:t xml:space="preserve">What to write here: </w:t>
      </w:r>
      <w:r>
        <w:rPr>
          <w:i/>
          <w:color w:val="5B6479"/>
          <w:sz w:val="19"/>
        </w:rPr>
        <w:t>One action, one date, one person. Do not end with a list of options.</w:t>
      </w:r>
    </w:p>
    <w:p>
      <w:pPr>
        <w:ind w:left="227"/>
      </w:pPr>
      <w:r>
        <w:rPr>
          <w:b/>
          <w:sz w:val="20"/>
        </w:rPr>
        <w:t xml:space="preserve">Sample wording: </w:t>
      </w:r>
      <w:r>
        <w:t>To confirm the date and release the venue hold, please reply with option B (or A / C) and the first instalment of ₹6,35,076 by 5 October 2026. We will send the signed order form and a payment receipt the same day.</w:t>
      </w:r>
    </w:p>
    <w:p>
      <w:r>
        <w:rPr>
          <w:b w:val="0"/>
          <w:i w:val="0"/>
        </w:rPr>
      </w:r>
    </w:p>
    <w:p>
      <w:r>
        <w:rPr>
          <w:b w:val="0"/>
          <w:i w:val="0"/>
          <w:sz w:val="20"/>
        </w:rPr>
        <w:t>Accepted for and on behalf of [Client company]: ________________________   Name / date: ________________</w:t>
      </w:r>
    </w:p>
    <w:p>
      <w:r>
        <w:rPr>
          <w:b w:val="0"/>
          <w:i w:val="0"/>
          <w:sz w:val="20"/>
        </w:rPr>
        <w:t>For [Your agency]: ________________________   Name / date: ________________</w:t>
      </w:r>
    </w:p>
    <w:sectPr w:rsidR="00FC693F" w:rsidRPr="0006063C" w:rsidSect="00034616">
      <w:footerReference w:type="default" r:id="rId9"/>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9"/>
        <w:sz w:val="17"/>
      </w:rPr>
      <w:t xml:space="preserve">Event proposal | page </w:t>
    </w:r>
    <w:r>
      <w:rPr>
        <w:color w:val="5B6479"/>
        <w:sz w:val="17"/>
      </w:rPr>
      <w:fldChar w:fldCharType="begin"/>
    </w:r>
    <w:r>
      <w:rPr>
        <w:color w:val="5B6479"/>
        <w:sz w:val="17"/>
      </w:rPr>
      <w:instrText xml:space="preserve">PAGE</w:instrText>
    </w:r>
    <w:r>
      <w:rPr>
        <w:color w:val="5B6479"/>
        <w:sz w:val="17"/>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b/>
      <w:bCs/>
      <w:color w:val="1A3FF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B0B1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Proposal Template with 300-guest corporate sample</dc:title>
  <dc:subject/>
  <dc:creator>Kaliquid</dc:creator>
  <cp:keywords/>
  <dc:description>generated by python-docx</dc:description>
  <cp:lastModifiedBy/>
  <cp:revision>1</cp:revision>
  <dcterms:created xsi:type="dcterms:W3CDTF">2013-12-23T23:15:00Z</dcterms:created>
  <dcterms:modified xsi:type="dcterms:W3CDTF">2013-12-23T23:15:00Z</dcterms:modified>
  <cp:category/>
</cp:coreProperties>
</file>