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Sample: BEO billing summary for a ballroom wedding dinner · Malaysia · amounts in MYR · dates DD/MM/YYYY</w:t>
      </w:r>
    </w:p>
    <w:p>
      <w:r>
        <w:t>Chinese wedding dinner of 40 tables of ten in a Kuala Lumpur hotel ballroom, 19:30 to 23:30; hotel quotes this package without a service charge and shows 6% service tax.</w:t>
      </w:r>
    </w:p>
    <w:p>
      <w:pPr>
        <w:pStyle w:val="Heading1"/>
      </w:pPr>
      <w:r>
        <w:t>Details required in Malaysia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number, revision number and client signature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number and final-count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requirements by table and seat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Halal status naming the certified kitchen and certificate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Food handler training and typhoid vaccination checked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Timeline including room-clear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Billing summary with service tax shown as on the quotation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Eight-course Chinese dinner, halal kitchen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table</w:t>
            </w:r>
          </w:p>
        </w:tc>
        <w:tc>
          <w:tcPr>
            <w:tcW w:type="dxa" w:w="1728"/>
          </w:tcPr>
          <w:p>
            <w:r>
              <w:t>RM1,888.00</w:t>
            </w:r>
          </w:p>
        </w:tc>
        <w:tc>
          <w:tcPr>
            <w:tcW w:type="dxa" w:w="1728"/>
          </w:tcPr>
          <w:p>
            <w:r>
              <w:t>SST 6% (F&amp;B)</w:t>
            </w:r>
          </w:p>
        </w:tc>
      </w:tr>
      <w:tr>
        <w:tc>
          <w:tcPr>
            <w:tcW w:type="dxa" w:w="1728"/>
          </w:tcPr>
          <w:p>
            <w:r>
              <w:t>Free-flow soft drinks and Chinese tea</w:t>
            </w:r>
          </w:p>
        </w:tc>
        <w:tc>
          <w:tcPr>
            <w:tcW w:type="dxa" w:w="1728"/>
          </w:tcPr>
          <w:p>
            <w:r>
              <w:t>400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RM12.00</w:t>
            </w:r>
          </w:p>
        </w:tc>
        <w:tc>
          <w:tcPr>
            <w:tcW w:type="dxa" w:w="1728"/>
          </w:tcPr>
          <w:p>
            <w:r>
              <w:t>SST 6% (F&amp;B)</w:t>
            </w:r>
          </w:p>
        </w:tc>
      </w:tr>
      <w:tr>
        <w:tc>
          <w:tcPr>
            <w:tcW w:type="dxa" w:w="1728"/>
          </w:tcPr>
          <w:p>
            <w:r>
              <w:t>Stage, backdrop and march-in lighting within the package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RM6,500.00</w:t>
            </w:r>
          </w:p>
        </w:tc>
        <w:tc>
          <w:tcPr>
            <w:tcW w:type="dxa" w:w="1728"/>
          </w:tcPr>
          <w:p>
            <w:r>
              <w:t>SST 6% (package)</w:t>
            </w:r>
          </w:p>
        </w:tc>
      </w:tr>
      <w:tr>
        <w:tc>
          <w:tcPr>
            <w:tcW w:type="dxa" w:w="1728"/>
          </w:tcPr>
          <w:p>
            <w:r>
              <w:t>Vegetarian tables, same course count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table</w:t>
            </w:r>
          </w:p>
        </w:tc>
        <w:tc>
          <w:tcPr>
            <w:tcW w:type="dxa" w:w="1728"/>
          </w:tcPr>
          <w:p>
            <w:r>
              <w:t>RM1,688.00</w:t>
            </w:r>
          </w:p>
        </w:tc>
        <w:tc>
          <w:tcPr>
            <w:tcW w:type="dxa" w:w="1728"/>
          </w:tcPr>
          <w:p>
            <w:r>
              <w:t>SST 6% (F&amp;B)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Malaysia</w:t>
      </w:r>
    </w:p>
    <w:p>
      <w:pPr>
        <w:pStyle w:val="ListBullet"/>
      </w:pPr>
      <w:r>
        <w:t>Guaranteed 40 tables; final count seven days before; extra tables approved on the night by the banquet manager only.</w:t>
      </w:r>
    </w:p>
    <w:p>
      <w:pPr>
        <w:pStyle w:val="ListBullet"/>
      </w:pPr>
      <w:r>
        <w:t>If your hotel adds a 10% service charge, show it on its own line and confirm with Customs how service tax applies to it.</w:t>
      </w:r>
    </w:p>
    <w:p>
      <w:pPr>
        <w:pStyle w:val="ListBullet"/>
      </w:pPr>
      <w:r>
        <w:t>Halal certificate holder and number printed on the BEO header.</w:t>
      </w:r>
    </w:p>
    <w:p>
      <w:pPr>
        <w:pStyle w:val="ListBullet"/>
      </w:pPr>
      <w:r>
        <w:t>BEO number, revision number and client signature: Proves which version of the event the client approved</w:t>
      </w:r>
    </w:p>
    <w:p>
      <w:pPr>
        <w:pStyle w:val="ListBullet"/>
      </w:pPr>
      <w:r>
        <w:t>Guaranteed number and final-count date: Sets billing for extra or missing tables</w:t>
      </w:r>
    </w:p>
    <w:p>
      <w:pPr>
        <w:pStyle w:val="ListBullet"/>
      </w:pPr>
      <w:r>
        <w:t>Dietary requirements by table and seat: Servers act on table numbers, not totals</w:t>
      </w:r>
    </w:p>
    <w:p>
      <w:pPr>
        <w:pStyle w:val="ListBullet"/>
      </w:pPr>
      <w:r>
        <w:t>Halal status naming the certified kitchen and certificate number: Halal descriptions are regulated under the Trade Descriptions Act 2011</w:t>
      </w:r>
    </w:p>
    <w:p>
      <w:pPr>
        <w:pStyle w:val="ListBullet"/>
      </w:pPr>
      <w:r>
        <w:t>Food handler training and typhoid vaccination checked: Required for food handlers under the Food Hygiene Regulations 2009</w:t>
      </w:r>
    </w:p>
    <w:p>
      <w:pPr>
        <w:pStyle w:val="ListBullet"/>
      </w:pPr>
      <w:r>
        <w:t>Timeline including room-clear time: Avoids overtime disputes and clashes with the next booking</w:t>
      </w:r>
    </w:p>
    <w:p>
      <w:pPr>
        <w:pStyle w:val="ListBullet"/>
      </w:pPr>
      <w:r>
        <w:t>Billing summary with service tax shown as on the quotation: F&amp;B and food-led packages are taxed at 6%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Customs Guide on Food and Beverages (revised 16 April 2024), summary of package and threshold rules by CCS (https://ccs-co.com/post/updated-food-and-beverage-guidelines-16-april-2024/, checked 2026-09-25); KPDN: Trade Descriptions Act 2011 and the halal orders (enforcement) (https://www.kpdn.gov.my/en/submenu/enforcement-submenu/protecting-intellectual-property/trade-description, checked 2026-09-25); Food Hygiene Regulations 2009: food handler training (reg. 30) and anti-typhoid vaccination (reg. 31), summary (https://www.conzlab.com/blog/useful-1/food-handling-training-in-malaysia-requirements-certification-and-compliance-guide-445, checked 2026-09-25); Service Tax Act 2018 (Act 807), sections 11, 21, 24 and 25, Attorney General's Chambers (https://lom.agc.gov.my/ilims/upload/portal/akta/outputaktap/1690140_BI/ACT%20807%20Final%2022072021%20Portal.pdf,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