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Sample: BEO billing summary for a hotel ballroom wedding · Philippines · amounts in PHP · dates MM/DD/YYYY</w:t>
      </w:r>
    </w:p>
    <w:p>
      <w:r>
        <w:t>Wedding reception for 250 guests in a Manila hotel ballroom, 5:00 pm to 10:00 pm, VAT-registered hotel, prices exclusive of VAT.</w:t>
      </w:r>
    </w:p>
    <w:p>
      <w:pPr>
        <w:pStyle w:val="Heading1"/>
      </w:pPr>
      <w:r>
        <w:t>Details required in Philippines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number, revision and client signature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headcount and final-count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Program flow with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notes by table and seat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Sanitary permit sighted for the kitchen or caterer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Health certificates for all food crew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Staff count and service charge note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Four-course plated dinner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₱1,650.00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Free-flowing iced tea and soda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₱120.00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Ballroom styling package with ceiling treatment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₱55,000.00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LED wall, lights and sounds with technician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₱40,000.00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Whole lechon for the buffet station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pig</w:t>
            </w:r>
          </w:p>
        </w:tc>
        <w:tc>
          <w:tcPr>
            <w:tcW w:type="dxa" w:w="1728"/>
          </w:tcPr>
          <w:p>
            <w:r>
              <w:t>₱9,800.00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Philippines</w:t>
      </w:r>
    </w:p>
    <w:p>
      <w:pPr>
        <w:pStyle w:val="ListBullet"/>
      </w:pPr>
      <w:r>
        <w:t>Guaranteed 240 guests; final count 7 days before; extra guests at the plated rate.</w:t>
      </w:r>
    </w:p>
    <w:p>
      <w:pPr>
        <w:pStyle w:val="ListBullet"/>
      </w:pPr>
      <w:r>
        <w:t>Program: grand entrance 6:15 pm, money dance 7:30 pm, lechon carving 6:45 pm.</w:t>
      </w:r>
    </w:p>
    <w:p>
      <w:pPr>
        <w:pStyle w:val="ListBullet"/>
      </w:pPr>
      <w:r>
        <w:t>If a service charge is added, show it on its own line; it is distributed to covered staff under RA 11360.</w:t>
      </w:r>
    </w:p>
    <w:p>
      <w:pPr>
        <w:pStyle w:val="ListBullet"/>
      </w:pPr>
      <w:r>
        <w:t>BEO number, revision and client signature: Shows which version the client approved</w:t>
      </w:r>
    </w:p>
    <w:p>
      <w:pPr>
        <w:pStyle w:val="ListBullet"/>
      </w:pPr>
      <w:r>
        <w:t>Guaranteed headcount and final-count date: Sets billing for added or missing guests</w:t>
      </w:r>
    </w:p>
    <w:p>
      <w:pPr>
        <w:pStyle w:val="ListBullet"/>
      </w:pPr>
      <w:r>
        <w:t>Program flow with times: The kitchen times each course around the program</w:t>
      </w:r>
    </w:p>
    <w:p>
      <w:pPr>
        <w:pStyle w:val="ListBullet"/>
      </w:pPr>
      <w:r>
        <w:t>Dietary notes by table and seat: Servers act on seat numbers, not totals</w:t>
      </w:r>
    </w:p>
    <w:p>
      <w:pPr>
        <w:pStyle w:val="ListBullet"/>
      </w:pPr>
      <w:r>
        <w:t>Sanitary permit sighted for the kitchen or caterer: Required for every food establishment under the Code on Sanitation</w:t>
      </w:r>
    </w:p>
    <w:p>
      <w:pPr>
        <w:pStyle w:val="ListBullet"/>
      </w:pPr>
      <w:r>
        <w:t>Health certificates for all food crew: No one may be employed in a food establishment without one</w:t>
      </w:r>
    </w:p>
    <w:p>
      <w:pPr>
        <w:pStyle w:val="ListBullet"/>
      </w:pPr>
      <w:r>
        <w:t>Staff count and service charge note: Collected service charges go to covered staff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Presidential Decree No. 856, Code on Sanitation, Sections 14 (sanitary permit) and 15 (health certificates), Official Gazette (https://www.officialgazette.gov.ph/1975/12/23/presidential-decree-no-856-s-1975/, checked 2026-09-25); Republic Act No. 11360, service charges in hotels, restaurants and similar establishments, Lawphil (https://lawphil.net/statutes/repacts/ra2019/ra_11360_2019.html, checked 2026-09-25); Republic Act No. 11976 (Ease of Paying Taxes Act), amended Sections 108, 113 and 237 of the Tax Code, Lawphil (https://lawphil.net/statutes/repacts/ra2024/ra_11976_2024.html,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