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CATERING SERVICES AGREEMENT</w:t>
      </w:r>
    </w:p>
    <w:p>
      <w:r>
        <w:t>Sample: Schedule 1 of an outside catering contract · Philippines · amounts in PHP · dates MM/DD/YYYY</w:t>
      </w:r>
    </w:p>
    <w:p>
      <w:r>
        <w:t>Garden wedding for 300 guests at a private venue in Batangas, catered off-site by a VAT-registered caterer, prices exclusive of VAT.</w:t>
      </w:r>
    </w:p>
    <w:p>
      <w:pPr>
        <w:pStyle w:val="Heading1"/>
      </w:pPr>
      <w:r>
        <w:t>Details required in Philippines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Fill in</w:t>
            </w:r>
          </w:p>
        </w:tc>
      </w:tr>
      <w:tr>
        <w:tc>
          <w:tcPr>
            <w:tcW w:type="dxa" w:w="4320"/>
          </w:tcPr>
          <w:p>
            <w:r>
              <w:t>Parties' registered names, addresses and TINs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Guaranteed guests, final-count date and extra-guest rate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Price with VAT status and payment schedule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Graduated cancellation and postponement charges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Fortuitous-event clause with named triggers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Sanitary permit and health certificates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Service charge and how it is distributed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Schedule 1: services and price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Item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Unit</w:t>
            </w:r>
          </w:p>
        </w:tc>
        <w:tc>
          <w:tcPr>
            <w:tcW w:type="dxa" w:w="1728"/>
          </w:tcPr>
          <w:p>
            <w:r>
              <w:t>Unit price</w:t>
            </w:r>
          </w:p>
        </w:tc>
        <w:tc>
          <w:tcPr>
            <w:tcW w:type="dxa" w:w="1728"/>
          </w:tcPr>
          <w:p>
            <w:r>
              <w:t>Tax</w:t>
            </w:r>
          </w:p>
        </w:tc>
      </w:tr>
      <w:tr>
        <w:tc>
          <w:tcPr>
            <w:tcW w:type="dxa" w:w="1728"/>
          </w:tcPr>
          <w:p>
            <w:r>
              <w:t>Buffet package, four viands, rice, dessert and drinks</w:t>
            </w:r>
          </w:p>
        </w:tc>
        <w:tc>
          <w:tcPr>
            <w:tcW w:type="dxa" w:w="1728"/>
          </w:tcPr>
          <w:p>
            <w:r>
              <w:t>300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₱750.00</w:t>
            </w:r>
          </w:p>
        </w:tc>
        <w:tc>
          <w:tcPr>
            <w:tcW w:type="dxa" w:w="1728"/>
          </w:tcPr>
          <w:p>
            <w:r>
              <w:t>VAT 12%</w:t>
            </w:r>
          </w:p>
        </w:tc>
      </w:tr>
      <w:tr>
        <w:tc>
          <w:tcPr>
            <w:tcW w:type="dxa" w:w="1728"/>
          </w:tcPr>
          <w:p>
            <w:r>
              <w:t>Tent, tables, chairs and linens for 300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set</w:t>
            </w:r>
          </w:p>
        </w:tc>
        <w:tc>
          <w:tcPr>
            <w:tcW w:type="dxa" w:w="1728"/>
          </w:tcPr>
          <w:p>
            <w:r>
              <w:t>₱28,000.00</w:t>
            </w:r>
          </w:p>
        </w:tc>
        <w:tc>
          <w:tcPr>
            <w:tcW w:type="dxa" w:w="1728"/>
          </w:tcPr>
          <w:p>
            <w:r>
              <w:t>VAT 12%</w:t>
            </w:r>
          </w:p>
        </w:tc>
      </w:tr>
      <w:tr>
        <w:tc>
          <w:tcPr>
            <w:tcW w:type="dxa" w:w="1728"/>
          </w:tcPr>
          <w:p>
            <w:r>
              <w:t>Service crew, waiters for 6 hours</w:t>
            </w:r>
          </w:p>
        </w:tc>
        <w:tc>
          <w:tcPr>
            <w:tcW w:type="dxa" w:w="1728"/>
          </w:tcPr>
          <w:p>
            <w:r>
              <w:t>15</w:t>
            </w:r>
          </w:p>
        </w:tc>
        <w:tc>
          <w:tcPr>
            <w:tcW w:type="dxa" w:w="1728"/>
          </w:tcPr>
          <w:p>
            <w:r>
              <w:t>waiter</w:t>
            </w:r>
          </w:p>
        </w:tc>
        <w:tc>
          <w:tcPr>
            <w:tcW w:type="dxa" w:w="1728"/>
          </w:tcPr>
          <w:p>
            <w:r>
              <w:t>₱1,200.00</w:t>
            </w:r>
          </w:p>
        </w:tc>
        <w:tc>
          <w:tcPr>
            <w:tcW w:type="dxa" w:w="1728"/>
          </w:tcPr>
          <w:p>
            <w:r>
              <w:t>VAT 12%</w:t>
            </w:r>
          </w:p>
        </w:tc>
      </w:tr>
      <w:tr>
        <w:tc>
          <w:tcPr>
            <w:tcW w:type="dxa" w:w="1728"/>
          </w:tcPr>
          <w:p>
            <w:r>
              <w:t>Styling: couple's table, entrance and centerpieces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package</w:t>
            </w:r>
          </w:p>
        </w:tc>
        <w:tc>
          <w:tcPr>
            <w:tcW w:type="dxa" w:w="1728"/>
          </w:tcPr>
          <w:p>
            <w:r>
              <w:t>₱40,000.00</w:t>
            </w:r>
          </w:p>
        </w:tc>
        <w:tc>
          <w:tcPr>
            <w:tcW w:type="dxa" w:w="1728"/>
          </w:tcPr>
          <w:p>
            <w:r>
              <w:t>VAT 12%</w:t>
            </w:r>
          </w:p>
        </w:tc>
      </w:tr>
      <w:tr>
        <w:tc>
          <w:tcPr>
            <w:tcW w:type="dxa" w:w="1728"/>
          </w:tcPr>
          <w:p>
            <w:r>
              <w:t>Generator set with fuel, 8 hours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event</w:t>
            </w:r>
          </w:p>
        </w:tc>
        <w:tc>
          <w:tcPr>
            <w:tcW w:type="dxa" w:w="1728"/>
          </w:tcPr>
          <w:p>
            <w:r>
              <w:t>₱12,000.00</w:t>
            </w:r>
          </w:p>
        </w:tc>
        <w:tc>
          <w:tcPr>
            <w:tcW w:type="dxa" w:w="1728"/>
          </w:tcPr>
          <w:p>
            <w:r>
              <w:t>VAT 12%</w:t>
            </w:r>
          </w:p>
        </w:tc>
      </w:tr>
    </w:tbl>
    <w:p>
      <w:pPr>
        <w:pStyle w:val="Heading2"/>
      </w:pPr>
      <w:r>
        <w:t>1. Parties</w:t>
      </w:r>
    </w:p>
    <w:p>
      <w:r>
        <w:t>______________________________________________________________</w:t>
      </w:r>
    </w:p>
    <w:p>
      <w:pPr>
        <w:pStyle w:val="Heading2"/>
      </w:pPr>
      <w:r>
        <w:t>2. Event date, venue and times</w:t>
      </w:r>
    </w:p>
    <w:p>
      <w:r>
        <w:t>______________________________________________________________</w:t>
      </w:r>
    </w:p>
    <w:p>
      <w:pPr>
        <w:pStyle w:val="Heading2"/>
      </w:pPr>
      <w:r>
        <w:t>3. Guest numbers and final count</w:t>
      </w:r>
    </w:p>
    <w:p>
      <w:r>
        <w:t>______________________________________________________________</w:t>
      </w:r>
    </w:p>
    <w:p>
      <w:pPr>
        <w:pStyle w:val="Heading2"/>
      </w:pPr>
      <w:r>
        <w:t>4. Menu, tastings and dietary needs</w:t>
      </w:r>
    </w:p>
    <w:p>
      <w:r>
        <w:t>______________________________________________________________</w:t>
      </w:r>
    </w:p>
    <w:p>
      <w:pPr>
        <w:pStyle w:val="Heading2"/>
      </w:pPr>
      <w:r>
        <w:t>5. Price, deposit and payment schedule</w:t>
      </w:r>
    </w:p>
    <w:p>
      <w:r>
        <w:t>______________________________________________________________</w:t>
      </w:r>
    </w:p>
    <w:p>
      <w:pPr>
        <w:pStyle w:val="Heading2"/>
      </w:pPr>
      <w:r>
        <w:t>6. Tax</w:t>
      </w:r>
    </w:p>
    <w:p>
      <w:r>
        <w:t>______________________________________________________________</w:t>
      </w:r>
    </w:p>
    <w:p>
      <w:pPr>
        <w:pStyle w:val="Heading2"/>
      </w:pPr>
      <w:r>
        <w:t>7. Cancellation and postponement</w:t>
      </w:r>
    </w:p>
    <w:p>
      <w:r>
        <w:t>______________________________________________________________</w:t>
      </w:r>
    </w:p>
    <w:p>
      <w:pPr>
        <w:pStyle w:val="Heading2"/>
      </w:pPr>
      <w:r>
        <w:t>8. Liability, insurance and food safety</w:t>
      </w:r>
    </w:p>
    <w:p>
      <w:r>
        <w:t>______________________________________________________________</w:t>
      </w:r>
    </w:p>
    <w:p>
      <w:pPr>
        <w:pStyle w:val="Heading2"/>
      </w:pPr>
      <w:r>
        <w:t>9. Staff, equipment and venue access</w:t>
      </w:r>
    </w:p>
    <w:p>
      <w:r>
        <w:t>______________________________________________________________</w:t>
      </w:r>
    </w:p>
    <w:p>
      <w:pPr>
        <w:pStyle w:val="Heading2"/>
      </w:pPr>
      <w:r>
        <w:t>10. Changes to this agreement</w:t>
      </w:r>
    </w:p>
    <w:p>
      <w:r>
        <w:t>______________________________________________________________</w:t>
      </w:r>
    </w:p>
    <w:p>
      <w:pPr>
        <w:pStyle w:val="Heading2"/>
      </w:pPr>
      <w:r>
        <w:t>11. Governing law</w:t>
      </w:r>
    </w:p>
    <w:p>
      <w:r>
        <w:t>______________________________________________________________</w:t>
      </w:r>
    </w:p>
    <w:p>
      <w:pPr>
        <w:pStyle w:val="Heading1"/>
      </w:pPr>
      <w:r>
        <w:t>Notes for Philippines</w:t>
      </w:r>
    </w:p>
    <w:p>
      <w:pPr>
        <w:pStyle w:val="ListBullet"/>
      </w:pPr>
      <w:r>
        <w:t>Guaranteed 280 guests; up to 20 extra guests served at ₱750 each while food lasts.</w:t>
      </w:r>
    </w:p>
    <w:p>
      <w:pPr>
        <w:pStyle w:val="ListBullet"/>
      </w:pPr>
      <w:r>
        <w:t>Signal No. 2 or higher over Batangas on the day: event moves to a date within 6 months with all payments carried over.</w:t>
      </w:r>
    </w:p>
    <w:p>
      <w:pPr>
        <w:pStyle w:val="ListBullet"/>
      </w:pPr>
      <w:r>
        <w:t>Sanitary permit and crew health certificates attached as Annex A.</w:t>
      </w:r>
    </w:p>
    <w:p>
      <w:pPr>
        <w:pStyle w:val="ListBullet"/>
      </w:pPr>
      <w:r>
        <w:t>Parties' registered names, addresses and TINs: Needed for the invoices that follow each payment</w:t>
      </w:r>
    </w:p>
    <w:p>
      <w:pPr>
        <w:pStyle w:val="ListBullet"/>
      </w:pPr>
      <w:r>
        <w:t>Guaranteed guests, final-count date and extra-guest rate: The main source of disputes on the day</w:t>
      </w:r>
    </w:p>
    <w:p>
      <w:pPr>
        <w:pStyle w:val="ListBullet"/>
      </w:pPr>
      <w:r>
        <w:t>Price with VAT status and payment schedule: VAT-registered caterers charge 12%; non-VAT caterers do not</w:t>
      </w:r>
    </w:p>
    <w:p>
      <w:pPr>
        <w:pStyle w:val="ListBullet"/>
      </w:pPr>
      <w:r>
        <w:t>Graduated cancellation and postponement charges: Courts can reduce penalties that are iniquitous or unconscionable</w:t>
      </w:r>
    </w:p>
    <w:p>
      <w:pPr>
        <w:pStyle w:val="ListBullet"/>
      </w:pPr>
      <w:r>
        <w:t>Fortuitous-event clause with named triggers: Replaces the default rule on unforeseeable or inevitable events</w:t>
      </w:r>
    </w:p>
    <w:p>
      <w:pPr>
        <w:pStyle w:val="ListBullet"/>
      </w:pPr>
      <w:r>
        <w:t>Sanitary permit and health certificates: Required for food establishments and their staff</w:t>
      </w:r>
    </w:p>
    <w:p>
      <w:pPr>
        <w:pStyle w:val="ListBullet"/>
      </w:pPr>
      <w:r>
        <w:t>Service charge and how it is distributed: Covered establishments pass collected service charges to staff</w:t>
      </w:r>
    </w:p>
    <w:p>
      <w:pPr>
        <w:pStyle w:val="Heading1"/>
      </w:pPr>
      <w:r>
        <w:t>Sign-off</w:t>
      </w:r>
    </w:p>
    <w:p>
      <w:r>
        <w:t>Client: ______________________   Date: __________</w:t>
      </w:r>
    </w:p>
    <w:p>
      <w:r>
        <w:t>Caterer: ______________________   Date: __________</w:t>
      </w:r>
    </w:p>
    <w:p>
      <w:r>
        <w:t>Sources: Civil Code of the Philippines (Republic Act No. 386), Articles 1174, 1226, 1229 and 1306, Lawphil (https://lawphil.net/statutes/repacts/ra1949/ra_386_1949.html, checked 2026-09-25); Presidential Decree No. 856, Code on Sanitation, Sections 14 (sanitary permit) and 15 (health certificates), Official Gazette (https://www.officialgazette.gov.ph/1975/12/23/presidential-decree-no-856-s-1975/, checked 2026-09-25); Republic Act No. 11976 (Ease of Paying Taxes Act), amended Sections 108, 113 and 237 of the Tax Code, Lawphil (https://lawphil.net/statutes/repacts/ra2024/ra_11976_2024.html, checked 2026-09-25); Republic Act No. 11360, service charges in hotels, restaurants and similar establishments, Lawphil (https://lawphil.net/statutes/repacts/ra2019/ra_11360_2019.html, checked 2026-09-25)</w:t>
      </w:r>
    </w:p>
    <w:p>
      <w:r>
        <w:t>General information, not legal or tax advice. Have a local lawyer review contracts before use. Template by Kaliquid (kaliquid.com).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